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491F6" w14:textId="77777777" w:rsidR="00355B50" w:rsidRPr="000B585B" w:rsidRDefault="00355B50" w:rsidP="00355B50">
      <w:pPr>
        <w:rPr>
          <w:rFonts w:asciiTheme="minorHAnsi" w:hAnsiTheme="minorHAnsi"/>
          <w:lang w:val="en-GB"/>
        </w:rPr>
      </w:pPr>
      <w:r w:rsidRPr="000B585B">
        <w:rPr>
          <w:lang w:val="en-GB"/>
        </w:rPr>
        <w:t xml:space="preserve">Institutionalisation happens in places where people are treated in large groups (based on disability, for example), away from others, their lives directed not by own wishes and needs but by the institution’s rules and protocols. </w:t>
      </w:r>
    </w:p>
    <w:p w14:paraId="72705358" w14:textId="77777777" w:rsidR="00355B50" w:rsidRPr="000B585B" w:rsidRDefault="00355B50" w:rsidP="00355B50">
      <w:pPr>
        <w:rPr>
          <w:lang w:val="en-GB"/>
        </w:rPr>
      </w:pPr>
      <w:r w:rsidRPr="000B585B">
        <w:rPr>
          <w:lang w:val="en-GB"/>
        </w:rPr>
        <w:t xml:space="preserve">Namely, segregation happens by location (away from most people, behind fences) and by activity (sleeping, “working”, spending time always with the same people one </w:t>
      </w:r>
      <w:proofErr w:type="gramStart"/>
      <w:r w:rsidRPr="000B585B">
        <w:rPr>
          <w:lang w:val="en-GB"/>
        </w:rPr>
        <w:t>didn’t</w:t>
      </w:r>
      <w:proofErr w:type="gramEnd"/>
      <w:r w:rsidRPr="000B585B">
        <w:rPr>
          <w:lang w:val="en-GB"/>
        </w:rPr>
        <w:t xml:space="preserve"> choose). </w:t>
      </w:r>
    </w:p>
    <w:p w14:paraId="5A3A5406" w14:textId="77777777" w:rsidR="00355B50" w:rsidRPr="000B585B" w:rsidRDefault="00355B50" w:rsidP="00355B50">
      <w:pPr>
        <w:rPr>
          <w:lang w:val="en-GB"/>
        </w:rPr>
      </w:pPr>
      <w:r w:rsidRPr="000B585B">
        <w:rPr>
          <w:lang w:val="en-GB"/>
        </w:rPr>
        <w:t>Congregated housing + segregated groups and activities + subjugation to someone else’s rules = institutionalisation.</w:t>
      </w:r>
    </w:p>
    <w:p w14:paraId="0AB64A2B" w14:textId="77777777" w:rsidR="00355B50" w:rsidRPr="000B585B" w:rsidRDefault="00355B50" w:rsidP="00355B50">
      <w:pPr>
        <w:rPr>
          <w:lang w:val="en-GB"/>
        </w:rPr>
      </w:pPr>
      <w:r w:rsidRPr="000B585B">
        <w:rPr>
          <w:lang w:val="en-GB"/>
        </w:rPr>
        <w:t xml:space="preserve">Logically, deinstitutionalisation is about replacing these elements with support that helps </w:t>
      </w:r>
      <w:proofErr w:type="gramStart"/>
      <w:r w:rsidRPr="000B585B">
        <w:rPr>
          <w:lang w:val="en-GB"/>
        </w:rPr>
        <w:t>each and every</w:t>
      </w:r>
      <w:proofErr w:type="gramEnd"/>
      <w:r w:rsidRPr="000B585B">
        <w:rPr>
          <w:lang w:val="en-GB"/>
        </w:rPr>
        <w:t xml:space="preserve"> person to be part of the world around them: be part of a family, have friends, have a job, be good at something. To belong.</w:t>
      </w:r>
    </w:p>
    <w:p w14:paraId="0E47FAE3" w14:textId="77777777" w:rsidR="00355B50" w:rsidRPr="000B585B" w:rsidRDefault="00355B50" w:rsidP="00355B50">
      <w:pPr>
        <w:rPr>
          <w:lang w:val="en-GB"/>
        </w:rPr>
      </w:pPr>
      <w:r w:rsidRPr="000B585B">
        <w:rPr>
          <w:lang w:val="en-GB"/>
        </w:rPr>
        <w:t xml:space="preserve">Universal solutions </w:t>
      </w:r>
      <w:proofErr w:type="gramStart"/>
      <w:r w:rsidRPr="000B585B">
        <w:rPr>
          <w:lang w:val="en-GB"/>
        </w:rPr>
        <w:t>don’t</w:t>
      </w:r>
      <w:proofErr w:type="gramEnd"/>
      <w:r w:rsidRPr="000B585B">
        <w:rPr>
          <w:lang w:val="en-GB"/>
        </w:rPr>
        <w:t xml:space="preserve"> exist – universal principles do: People seek connections and stability. That must be the guiding principle of any support system.</w:t>
      </w:r>
    </w:p>
    <w:p w14:paraId="7A7090D5" w14:textId="77777777" w:rsidR="00355B50" w:rsidRPr="000B585B" w:rsidRDefault="00355B50" w:rsidP="00355B50">
      <w:pPr>
        <w:rPr>
          <w:lang w:val="en-GB"/>
        </w:rPr>
      </w:pPr>
      <w:r w:rsidRPr="000B585B">
        <w:rPr>
          <w:lang w:val="en-GB"/>
        </w:rPr>
        <w:t xml:space="preserve">Support families too, so they don’t have to “choose” between dedicating all energy to one </w:t>
      </w:r>
      <w:proofErr w:type="gramStart"/>
      <w:r w:rsidRPr="000B585B">
        <w:rPr>
          <w:lang w:val="en-GB"/>
        </w:rPr>
        <w:t>member, or</w:t>
      </w:r>
      <w:proofErr w:type="gramEnd"/>
      <w:r w:rsidRPr="000B585B">
        <w:rPr>
          <w:lang w:val="en-GB"/>
        </w:rPr>
        <w:t xml:space="preserve"> removing them into an institution. With the right support, families can be just that – families. Not full-time carers, therapists, administrators, organisers.</w:t>
      </w:r>
    </w:p>
    <w:p w14:paraId="4B712853" w14:textId="77777777" w:rsidR="00355B50" w:rsidRPr="000B585B" w:rsidRDefault="00355B50" w:rsidP="00355B50">
      <w:pPr>
        <w:rPr>
          <w:lang w:val="en-GB"/>
        </w:rPr>
      </w:pPr>
      <w:r w:rsidRPr="000B585B">
        <w:rPr>
          <w:lang w:val="en-GB"/>
        </w:rPr>
        <w:t xml:space="preserve">Independence and inclusion are achieved by respecting </w:t>
      </w:r>
      <w:proofErr w:type="gramStart"/>
      <w:r w:rsidRPr="000B585B">
        <w:rPr>
          <w:lang w:val="en-GB"/>
        </w:rPr>
        <w:t>each and every</w:t>
      </w:r>
      <w:proofErr w:type="gramEnd"/>
      <w:r w:rsidRPr="000B585B">
        <w:rPr>
          <w:lang w:val="en-GB"/>
        </w:rPr>
        <w:t xml:space="preserve"> person’s needs and providing a spectrum of individualised support.</w:t>
      </w:r>
    </w:p>
    <w:p w14:paraId="4F24D630" w14:textId="77777777" w:rsidR="00355B50" w:rsidRPr="000B585B" w:rsidRDefault="00355B50" w:rsidP="00355B50">
      <w:pPr>
        <w:rPr>
          <w:lang w:val="en-GB"/>
        </w:rPr>
      </w:pPr>
      <w:r w:rsidRPr="000B585B">
        <w:rPr>
          <w:lang w:val="en-GB"/>
        </w:rPr>
        <w:t xml:space="preserve">One size does not fit all. This applies to institutions, and in the community. </w:t>
      </w:r>
      <w:proofErr w:type="gramStart"/>
      <w:r w:rsidRPr="000B585B">
        <w:rPr>
          <w:lang w:val="en-GB"/>
        </w:rPr>
        <w:t>There’s</w:t>
      </w:r>
      <w:proofErr w:type="gramEnd"/>
      <w:r w:rsidRPr="000B585B">
        <w:rPr>
          <w:lang w:val="en-GB"/>
        </w:rPr>
        <w:t xml:space="preserve"> no one service suitable for everyone.</w:t>
      </w:r>
    </w:p>
    <w:p w14:paraId="5339C7B4" w14:textId="77777777" w:rsidR="00355B50" w:rsidRPr="000B585B" w:rsidRDefault="00355B50" w:rsidP="00355B50">
      <w:pPr>
        <w:rPr>
          <w:lang w:val="en-GB"/>
        </w:rPr>
      </w:pPr>
      <w:r w:rsidRPr="000B585B">
        <w:rPr>
          <w:lang w:val="en-GB"/>
        </w:rPr>
        <w:t>Naturally, deinstitutionalisation guidelines must lead those implementing them to focus on each persons’ inclusion. Establishing a place to live in; job to do; relations to have. Not on houses or services.</w:t>
      </w:r>
    </w:p>
    <w:p w14:paraId="6AAF1D2E" w14:textId="77777777" w:rsidR="00355B50" w:rsidRPr="000B585B" w:rsidRDefault="00355B50" w:rsidP="00355B50">
      <w:pPr>
        <w:rPr>
          <w:lang w:val="en-GB"/>
        </w:rPr>
      </w:pPr>
    </w:p>
    <w:p w14:paraId="5AFF50EA" w14:textId="77777777" w:rsidR="00355B50" w:rsidRPr="000B585B" w:rsidRDefault="00355B50" w:rsidP="00355B50">
      <w:pPr>
        <w:rPr>
          <w:lang w:val="en-GB"/>
        </w:rPr>
      </w:pPr>
      <w:r w:rsidRPr="000B585B">
        <w:rPr>
          <w:lang w:val="en-GB"/>
        </w:rPr>
        <w:t xml:space="preserve">People leaving institutions need support establishing relations, learning about outside </w:t>
      </w:r>
      <w:proofErr w:type="gramStart"/>
      <w:r w:rsidRPr="000B585B">
        <w:rPr>
          <w:lang w:val="en-GB"/>
        </w:rPr>
        <w:t>world</w:t>
      </w:r>
      <w:proofErr w:type="gramEnd"/>
      <w:r w:rsidRPr="000B585B">
        <w:rPr>
          <w:lang w:val="en-GB"/>
        </w:rPr>
        <w:t xml:space="preserve"> and dealing with the consequences of institutionalisation (including support to cope with violence).</w:t>
      </w:r>
      <w:r w:rsidRPr="000B585B">
        <w:rPr>
          <w:rStyle w:val="FootnoteReference"/>
          <w:lang w:val="en-GB"/>
        </w:rPr>
        <w:footnoteReference w:id="1"/>
      </w:r>
    </w:p>
    <w:p w14:paraId="0FD00DBB" w14:textId="77777777" w:rsidR="00355B50" w:rsidRPr="000B585B" w:rsidRDefault="00355B50" w:rsidP="00355B50">
      <w:pPr>
        <w:rPr>
          <w:lang w:val="en-GB"/>
        </w:rPr>
      </w:pPr>
      <w:r w:rsidRPr="000B585B">
        <w:rPr>
          <w:lang w:val="en-GB"/>
        </w:rPr>
        <w:lastRenderedPageBreak/>
        <w:t>Start with those most likely to be left out: people with complex support needs, people with intellectual disabilities</w:t>
      </w:r>
      <w:r w:rsidRPr="000B585B">
        <w:rPr>
          <w:rStyle w:val="FootnoteReference"/>
          <w:lang w:val="en-GB"/>
        </w:rPr>
        <w:footnoteReference w:id="2"/>
      </w:r>
      <w:r w:rsidRPr="000B585B">
        <w:rPr>
          <w:lang w:val="en-GB"/>
        </w:rPr>
        <w:t>. Make the changes and services work for them first.</w:t>
      </w:r>
    </w:p>
    <w:p w14:paraId="3BAB87EA" w14:textId="77777777" w:rsidR="00355B50" w:rsidRPr="000B585B" w:rsidRDefault="00355B50" w:rsidP="00355B50">
      <w:pPr>
        <w:rPr>
          <w:lang w:val="en-GB"/>
        </w:rPr>
      </w:pPr>
    </w:p>
    <w:p w14:paraId="3E89F2B3" w14:textId="77777777" w:rsidR="00355B50" w:rsidRPr="000B585B" w:rsidRDefault="00355B50" w:rsidP="00355B50">
      <w:pPr>
        <w:rPr>
          <w:lang w:val="en-GB"/>
        </w:rPr>
      </w:pPr>
      <w:r w:rsidRPr="000B585B">
        <w:rPr>
          <w:lang w:val="en-GB"/>
        </w:rPr>
        <w:t xml:space="preserve">People with intellectual disabilities not in institutions need support not to end up there. All support must be about establishing independent life in the community based on each person’s needs and choices. </w:t>
      </w:r>
    </w:p>
    <w:p w14:paraId="4D309CEF" w14:textId="77777777" w:rsidR="00355B50" w:rsidRPr="000B585B" w:rsidRDefault="00355B50" w:rsidP="00355B50">
      <w:pPr>
        <w:rPr>
          <w:lang w:val="en-GB"/>
        </w:rPr>
      </w:pPr>
      <w:r w:rsidRPr="000B585B">
        <w:rPr>
          <w:lang w:val="en-GB"/>
        </w:rPr>
        <w:t>Reforms to child protection must be followed by changes in adult services to avoid people with disabilities who reach adulthood ending up in institutions</w:t>
      </w:r>
      <w:r w:rsidRPr="000B585B">
        <w:rPr>
          <w:rStyle w:val="FootnoteReference"/>
          <w:lang w:val="en-GB"/>
        </w:rPr>
        <w:footnoteReference w:id="3"/>
      </w:r>
      <w:r w:rsidRPr="000B585B">
        <w:rPr>
          <w:lang w:val="en-GB"/>
        </w:rPr>
        <w:t xml:space="preserve">. </w:t>
      </w:r>
    </w:p>
    <w:p w14:paraId="5D0169D8" w14:textId="77777777" w:rsidR="00355B50" w:rsidRPr="000B585B" w:rsidRDefault="00355B50" w:rsidP="00355B50">
      <w:pPr>
        <w:rPr>
          <w:lang w:val="en-GB"/>
        </w:rPr>
      </w:pPr>
      <w:r w:rsidRPr="000B585B">
        <w:rPr>
          <w:lang w:val="en-GB"/>
        </w:rPr>
        <w:t>Legal capacity law must change. Supported decision-making become the norm. How can people take responsibility over their lives, when not allowed to decide</w:t>
      </w:r>
      <w:r>
        <w:rPr>
          <w:lang w:val="en-GB"/>
        </w:rPr>
        <w:t>?</w:t>
      </w:r>
    </w:p>
    <w:p w14:paraId="1A466853" w14:textId="77777777" w:rsidR="00355B50" w:rsidRPr="000B585B" w:rsidRDefault="00355B50" w:rsidP="00355B50">
      <w:pPr>
        <w:rPr>
          <w:lang w:val="en-GB"/>
        </w:rPr>
      </w:pPr>
    </w:p>
    <w:p w14:paraId="1A1CFE5D" w14:textId="77777777" w:rsidR="00355B50" w:rsidRPr="000B585B" w:rsidRDefault="00355B50" w:rsidP="00355B50">
      <w:pPr>
        <w:rPr>
          <w:lang w:val="en-GB"/>
        </w:rPr>
      </w:pPr>
      <w:r w:rsidRPr="000B585B">
        <w:rPr>
          <w:lang w:val="en-GB"/>
        </w:rPr>
        <w:t xml:space="preserve">Not to get distracted: Millions in institutions globally and millions more in danger of institutionalisation. Their inclusion must get all attention and resources. </w:t>
      </w:r>
    </w:p>
    <w:p w14:paraId="6556F0D4" w14:textId="77777777" w:rsidR="00355B50" w:rsidRPr="000B585B" w:rsidRDefault="00355B50" w:rsidP="00355B50">
      <w:pPr>
        <w:rPr>
          <w:lang w:val="en-GB"/>
        </w:rPr>
      </w:pPr>
      <w:r w:rsidRPr="000B585B">
        <w:rPr>
          <w:lang w:val="en-GB"/>
        </w:rPr>
        <w:t>Some people may need “residential care”. What matters is how this is set up, principles it follows, the individual needs; that it leads to inclusion.</w:t>
      </w:r>
    </w:p>
    <w:p w14:paraId="5361D3F3" w14:textId="77777777" w:rsidR="00355B50" w:rsidRPr="000B585B" w:rsidRDefault="00355B50" w:rsidP="00355B50">
      <w:pPr>
        <w:rPr>
          <w:lang w:val="en-GB"/>
        </w:rPr>
      </w:pPr>
      <w:r w:rsidRPr="000B585B">
        <w:rPr>
          <w:lang w:val="en-GB"/>
        </w:rPr>
        <w:t xml:space="preserve">User-led quality inspections are crucial, with public, easy to understand </w:t>
      </w:r>
      <w:proofErr w:type="gramStart"/>
      <w:r w:rsidRPr="000B585B">
        <w:rPr>
          <w:lang w:val="en-GB"/>
        </w:rPr>
        <w:t>results;</w:t>
      </w:r>
      <w:proofErr w:type="gramEnd"/>
      <w:r w:rsidRPr="000B585B">
        <w:rPr>
          <w:lang w:val="en-GB"/>
        </w:rPr>
        <w:t xml:space="preserve"> with consequences for providers.</w:t>
      </w:r>
    </w:p>
    <w:p w14:paraId="6B0CF06F" w14:textId="77777777" w:rsidR="00355B50" w:rsidRPr="000B585B" w:rsidRDefault="00355B50" w:rsidP="00355B50">
      <w:pPr>
        <w:rPr>
          <w:lang w:val="en-GB"/>
        </w:rPr>
      </w:pPr>
    </w:p>
    <w:p w14:paraId="6A70C663" w14:textId="77777777" w:rsidR="00355B50" w:rsidRPr="000B585B" w:rsidRDefault="00355B50" w:rsidP="00355B50">
      <w:pPr>
        <w:rPr>
          <w:lang w:val="en-GB"/>
        </w:rPr>
      </w:pPr>
      <w:r w:rsidRPr="000B585B">
        <w:rPr>
          <w:lang w:val="en-GB"/>
        </w:rPr>
        <w:t xml:space="preserve">Family members dedicate their lives providing care and support. Family members started many existing community-based services. Families </w:t>
      </w:r>
      <w:proofErr w:type="gramStart"/>
      <w:r w:rsidRPr="000B585B">
        <w:rPr>
          <w:lang w:val="en-GB"/>
        </w:rPr>
        <w:t>don’t</w:t>
      </w:r>
      <w:proofErr w:type="gramEnd"/>
      <w:r w:rsidRPr="000B585B">
        <w:rPr>
          <w:lang w:val="en-GB"/>
        </w:rPr>
        <w:t xml:space="preserve"> want their loved ones to be institutionalised.</w:t>
      </w:r>
      <w:r w:rsidRPr="000B585B">
        <w:rPr>
          <w:rStyle w:val="FootnoteReference"/>
          <w:lang w:val="en-GB"/>
        </w:rPr>
        <w:footnoteReference w:id="4"/>
      </w:r>
      <w:r w:rsidRPr="000B585B">
        <w:rPr>
          <w:lang w:val="en-GB"/>
        </w:rPr>
        <w:t xml:space="preserve"> Involving them is critical.</w:t>
      </w:r>
    </w:p>
    <w:p w14:paraId="0377ABBF" w14:textId="77777777" w:rsidR="00355B50" w:rsidRPr="000B585B" w:rsidRDefault="00355B50" w:rsidP="00355B50">
      <w:pPr>
        <w:rPr>
          <w:lang w:val="en-GB"/>
        </w:rPr>
      </w:pPr>
    </w:p>
    <w:p w14:paraId="21046175" w14:textId="77777777" w:rsidR="00355B50" w:rsidRPr="000B585B" w:rsidRDefault="00355B50" w:rsidP="00355B50">
      <w:pPr>
        <w:rPr>
          <w:lang w:val="en-GB"/>
        </w:rPr>
      </w:pPr>
      <w:r w:rsidRPr="000B585B">
        <w:rPr>
          <w:lang w:val="en-GB"/>
        </w:rPr>
        <w:t xml:space="preserve">Promote activity and engagement of </w:t>
      </w:r>
      <w:proofErr w:type="gramStart"/>
      <w:r w:rsidRPr="000B585B">
        <w:rPr>
          <w:lang w:val="en-GB"/>
        </w:rPr>
        <w:t>policy-makers</w:t>
      </w:r>
      <w:proofErr w:type="gramEnd"/>
      <w:r w:rsidRPr="000B585B">
        <w:rPr>
          <w:lang w:val="en-GB"/>
        </w:rPr>
        <w:t xml:space="preserve"> and service providers. Reward changes and progress in the right direction. </w:t>
      </w:r>
    </w:p>
    <w:p w14:paraId="401B7948" w14:textId="77777777" w:rsidR="00355B50" w:rsidRPr="000B585B" w:rsidRDefault="00355B50" w:rsidP="00355B50">
      <w:pPr>
        <w:rPr>
          <w:lang w:val="en-GB"/>
        </w:rPr>
      </w:pPr>
      <w:r w:rsidRPr="000B585B">
        <w:rPr>
          <w:lang w:val="en-GB"/>
        </w:rPr>
        <w:t>Protect legitimacy of deinstitutionalisation. There is no need to play in the hands of the opposition by using terms such as “deinstitutionalisation in crisis”.</w:t>
      </w:r>
      <w:r w:rsidRPr="000B585B">
        <w:rPr>
          <w:rStyle w:val="FootnoteReference"/>
          <w:lang w:val="en-GB"/>
        </w:rPr>
        <w:footnoteReference w:id="5"/>
      </w:r>
    </w:p>
    <w:p w14:paraId="79088656" w14:textId="77777777" w:rsidR="00355B50" w:rsidRPr="000B585B" w:rsidRDefault="00355B50" w:rsidP="00355B50">
      <w:pPr>
        <w:rPr>
          <w:lang w:val="en-GB"/>
        </w:rPr>
      </w:pPr>
    </w:p>
    <w:p w14:paraId="57168082" w14:textId="77777777" w:rsidR="00355B50" w:rsidRPr="000B585B" w:rsidRDefault="00355B50" w:rsidP="00355B50">
      <w:pPr>
        <w:rPr>
          <w:lang w:val="en-GB"/>
        </w:rPr>
      </w:pPr>
      <w:r w:rsidRPr="000B585B">
        <w:rPr>
          <w:lang w:val="en-GB"/>
        </w:rPr>
        <w:t xml:space="preserve">Provide </w:t>
      </w:r>
      <w:proofErr w:type="gramStart"/>
      <w:r w:rsidRPr="000B585B">
        <w:rPr>
          <w:lang w:val="en-GB"/>
        </w:rPr>
        <w:t>policy-makers</w:t>
      </w:r>
      <w:proofErr w:type="gramEnd"/>
      <w:r w:rsidRPr="000B585B">
        <w:rPr>
          <w:lang w:val="en-GB"/>
        </w:rPr>
        <w:t>, funders and service providers with a clear picture of the desired outcome. Trust in their ability to deliver it.</w:t>
      </w:r>
    </w:p>
    <w:p w14:paraId="154CF164" w14:textId="77777777" w:rsidR="00355B50" w:rsidRPr="000B585B" w:rsidRDefault="00355B50" w:rsidP="00355B50">
      <w:pPr>
        <w:rPr>
          <w:lang w:val="en-GB"/>
        </w:rPr>
      </w:pPr>
      <w:r w:rsidRPr="000B585B">
        <w:rPr>
          <w:lang w:val="en-GB"/>
        </w:rPr>
        <w:lastRenderedPageBreak/>
        <w:t xml:space="preserve">People have different roles to </w:t>
      </w:r>
      <w:proofErr w:type="gramStart"/>
      <w:r w:rsidRPr="000B585B">
        <w:rPr>
          <w:lang w:val="en-GB"/>
        </w:rPr>
        <w:t>play:</w:t>
      </w:r>
      <w:proofErr w:type="gramEnd"/>
      <w:r w:rsidRPr="000B585B">
        <w:rPr>
          <w:lang w:val="en-GB"/>
        </w:rPr>
        <w:t xml:space="preserve"> be that EU experts, national policy-makers or service providers. They have different needs in how they work and what problems they are solving. This needs to be reflected in guidelines.</w:t>
      </w:r>
    </w:p>
    <w:p w14:paraId="43D54DF6" w14:textId="77777777" w:rsidR="00355B50" w:rsidRPr="000B585B" w:rsidRDefault="00355B50" w:rsidP="00355B50">
      <w:pPr>
        <w:rPr>
          <w:lang w:val="en-GB"/>
        </w:rPr>
      </w:pPr>
      <w:r w:rsidRPr="000B585B">
        <w:rPr>
          <w:lang w:val="en-GB"/>
        </w:rPr>
        <w:t>Learning from behavioural sciences: What steers people towards institutionalisation? How to turn these choices other way round?</w:t>
      </w:r>
    </w:p>
    <w:p w14:paraId="691CBEE4" w14:textId="77777777" w:rsidR="00355B50" w:rsidRPr="000B585B" w:rsidRDefault="00355B50" w:rsidP="00355B50">
      <w:pPr>
        <w:rPr>
          <w:lang w:val="en-GB"/>
        </w:rPr>
      </w:pPr>
      <w:r w:rsidRPr="000B585B">
        <w:rPr>
          <w:lang w:val="en-GB"/>
        </w:rPr>
        <w:t>“Changing peoples’ mindset” is the toughest job. Changing the way people work and behave is doable; Minds will follow.</w:t>
      </w:r>
    </w:p>
    <w:p w14:paraId="0ED41995" w14:textId="77777777" w:rsidR="00355B50" w:rsidRPr="000B585B" w:rsidRDefault="00355B50" w:rsidP="00355B50">
      <w:pPr>
        <w:rPr>
          <w:lang w:val="en-GB"/>
        </w:rPr>
      </w:pPr>
    </w:p>
    <w:p w14:paraId="79E61A0E" w14:textId="77777777" w:rsidR="00355B50" w:rsidRPr="000B585B" w:rsidRDefault="00355B50" w:rsidP="00355B50">
      <w:pPr>
        <w:rPr>
          <w:lang w:val="en-GB"/>
        </w:rPr>
      </w:pPr>
    </w:p>
    <w:p w14:paraId="0B827C62" w14:textId="77777777" w:rsidR="00355B50" w:rsidRPr="000B585B" w:rsidRDefault="00355B50" w:rsidP="00355B50">
      <w:pPr>
        <w:rPr>
          <w:i/>
          <w:lang w:val="en-GB"/>
        </w:rPr>
      </w:pPr>
      <w:r w:rsidRPr="000B585B">
        <w:rPr>
          <w:i/>
          <w:iCs/>
          <w:lang w:val="en-GB"/>
        </w:rPr>
        <w:t>Being included v. being segregated</w:t>
      </w:r>
      <w:r w:rsidRPr="000B585B">
        <w:rPr>
          <w:rStyle w:val="FootnoteReference"/>
          <w:i/>
          <w:iCs/>
          <w:lang w:val="en-GB"/>
        </w:rPr>
        <w:footnoteReference w:id="6"/>
      </w:r>
    </w:p>
    <w:p w14:paraId="27EA614B" w14:textId="77777777" w:rsidR="00355B50" w:rsidRPr="000B585B" w:rsidRDefault="00355B50" w:rsidP="00355B50">
      <w:pPr>
        <w:rPr>
          <w:lang w:val="en-GB"/>
        </w:rPr>
      </w:pPr>
      <w:r w:rsidRPr="000B585B">
        <w:rPr>
          <w:noProof/>
          <w:lang w:val="en-GB"/>
        </w:rPr>
        <w:drawing>
          <wp:anchor distT="0" distB="0" distL="114300" distR="114300" simplePos="0" relativeHeight="251659264" behindDoc="1" locked="0" layoutInCell="1" allowOverlap="1" wp14:anchorId="65A33BBB" wp14:editId="42376BB2">
            <wp:simplePos x="0" y="0"/>
            <wp:positionH relativeFrom="column">
              <wp:posOffset>0</wp:posOffset>
            </wp:positionH>
            <wp:positionV relativeFrom="paragraph">
              <wp:posOffset>1905</wp:posOffset>
            </wp:positionV>
            <wp:extent cx="3531235" cy="4232275"/>
            <wp:effectExtent l="0" t="0" r="0" b="0"/>
            <wp:wrapTopAndBottom/>
            <wp:docPr id="4" name="Picture 4" descr="Being included in the community versus being &#10;segregated in an institution&#10;For more children-specific examples, please see p.48 of the EEG Guidelines.&#10;Inclusion in the community Institution&#10;Control over &#10;person’s life&#10;The person decides based on personal &#10;preferences.&#10;Enough services on offer to be able to&#10;choose from, including personal assistance.&#10;Funding that goes to the person, rather&#10;than to service provider.&#10;Support in making the decision.&#10;Peer support for empowerment and to&#10;facilitate decision making.&#10;Person cannot choose where and with &#10;whom they will live.&#10;Person´s life subjected to service &#10;requirements and/or to routine/regime.&#10;Staff decides about what, when will a user &#10;do a certain thing.&#10;“Choice” limited to deciding between a &#10;limited number of options on offer.&#10;Not supported to make decisions, &#10;including not having access to support &#10;and living arrangements of one’s choice, &#10;or to change these.&#10;Support is limited to basic needs, does not &#10;enable active participation.&#10;Location A person lives in regular housing, such as in&#10;an apartment block or a house.&#10;Housing is separated from support,&#10;allowing the person to move without losing &#10;their support package.&#10;A person travels to work, school, etc. and&#10;they do not have everything in the same &#10;place. &#10;Housing and daily activities in same &#10;location.&#10;Housing located in an area segregated from &#10;the rest of society (by distance, by wall) and/&#10;or located in a hospital-like building.&#10;Style of service Individualised in terms of focus on&#10;individual personal needs and preferences.&#10;Of different intensity, ranging from 24&#10;hours per day, to several hours per week,&#10;depending on each individuals needs and &#10;requirements.&#10;Focused on establishing and maintaining &#10;person’s social roles (employment, family,&#10;friends, etc.).&#10;Utilising mainstream services.&#10;Group-based provision of service (same &#10;type of activity at same time regardless of &#10;person’s needs or preferences).&#10;Focused on medically-defined needs.&#10;Substituting mainstream services with &#10;segregated alternatives within the &#10;instit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ng included in the community versus being &#10;segregated in an institution&#10;For more children-specific examples, please see p.48 of the EEG Guidelines.&#10;Inclusion in the community Institution&#10;Control over &#10;person’s life&#10;The person decides based on personal &#10;preferences.&#10;Enough services on offer to be able to&#10;choose from, including personal assistance.&#10;Funding that goes to the person, rather&#10;than to service provider.&#10;Support in making the decision.&#10;Peer support for empowerment and to&#10;facilitate decision making.&#10;Person cannot choose where and with &#10;whom they will live.&#10;Person´s life subjected to service &#10;requirements and/or to routine/regime.&#10;Staff decides about what, when will a user &#10;do a certain thing.&#10;“Choice” limited to deciding between a &#10;limited number of options on offer.&#10;Not supported to make decisions, &#10;including not having access to support &#10;and living arrangements of one’s choice, &#10;or to change these.&#10;Support is limited to basic needs, does not &#10;enable active participation.&#10;Location A person lives in regular housing, such as in&#10;an apartment block or a house.&#10;Housing is separated from support,&#10;allowing the person to move without losing &#10;their support package.&#10;A person travels to work, school, etc. and&#10;they do not have everything in the same &#10;place. &#10;Housing and daily activities in same &#10;location.&#10;Housing located in an area segregated from &#10;the rest of society (by distance, by wall) and/&#10;or located in a hospital-like building.&#10;Style of service Individualised in terms of focus on&#10;individual personal needs and preferences.&#10;Of different intensity, ranging from 24&#10;hours per day, to several hours per week,&#10;depending on each individuals needs and &#10;requirements.&#10;Focused on establishing and maintaining &#10;person’s social roles (employment, family,&#10;friends, etc.).&#10;Utilising mainstream services.&#10;Group-based provision of service (same &#10;type of activity at same time regardless of &#10;person’s needs or preferences).&#10;Focused on medically-defined needs.&#10;Substituting mainstream services with &#10;segregated alternatives within the &#10;institu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1235" cy="4232275"/>
                    </a:xfrm>
                    <a:prstGeom prst="rect">
                      <a:avLst/>
                    </a:prstGeom>
                    <a:noFill/>
                  </pic:spPr>
                </pic:pic>
              </a:graphicData>
            </a:graphic>
            <wp14:sizeRelH relativeFrom="page">
              <wp14:pctWidth>0</wp14:pctWidth>
            </wp14:sizeRelH>
            <wp14:sizeRelV relativeFrom="page">
              <wp14:pctHeight>0</wp14:pctHeight>
            </wp14:sizeRelV>
          </wp:anchor>
        </w:drawing>
      </w:r>
    </w:p>
    <w:p w14:paraId="61375EDF" w14:textId="77777777" w:rsidR="00355B50" w:rsidRPr="00355B50" w:rsidRDefault="00355B50">
      <w:pPr>
        <w:rPr>
          <w:lang w:val="en-GB"/>
        </w:rPr>
      </w:pPr>
    </w:p>
    <w:sectPr w:rsidR="00355B50" w:rsidRPr="00355B50" w:rsidSect="00355B50">
      <w:headerReference w:type="default" r:id="rId7"/>
      <w:headerReference w:type="first" r:id="rId8"/>
      <w:footerReference w:type="first" r:id="rId9"/>
      <w:pgSz w:w="11906" w:h="16838"/>
      <w:pgMar w:top="1440" w:right="1416" w:bottom="1440" w:left="1843" w:header="708" w:footer="8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9E427" w14:textId="77777777" w:rsidR="00355B50" w:rsidRDefault="00355B50" w:rsidP="00355B50">
      <w:pPr>
        <w:spacing w:before="0" w:after="0" w:line="240" w:lineRule="auto"/>
      </w:pPr>
      <w:r>
        <w:separator/>
      </w:r>
    </w:p>
  </w:endnote>
  <w:endnote w:type="continuationSeparator" w:id="0">
    <w:p w14:paraId="7D360110" w14:textId="77777777" w:rsidR="00355B50" w:rsidRDefault="00355B50" w:rsidP="00355B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87E9" w14:textId="77777777" w:rsidR="00355B50" w:rsidRPr="008E0893" w:rsidRDefault="00355B50" w:rsidP="00355B50">
    <w:pPr>
      <w:spacing w:before="60" w:after="0" w:line="240" w:lineRule="auto"/>
      <w:jc w:val="center"/>
      <w:rPr>
        <w:rFonts w:cs="Open Sans"/>
        <w:noProof/>
        <w:sz w:val="14"/>
        <w:szCs w:val="14"/>
        <w:lang w:val="fr-BE"/>
      </w:rPr>
    </w:pPr>
  </w:p>
  <w:p w14:paraId="4676E058" w14:textId="77777777" w:rsidR="00355B50" w:rsidRPr="009611F4" w:rsidRDefault="00355B50" w:rsidP="00355B50">
    <w:pPr>
      <w:spacing w:before="60" w:after="0" w:line="240" w:lineRule="auto"/>
      <w:rPr>
        <w:rFonts w:cs="Open Sans"/>
        <w:noProof/>
        <w:sz w:val="6"/>
        <w:szCs w:val="16"/>
        <w:lang w:val="en-GB"/>
      </w:rPr>
    </w:pPr>
    <w:r>
      <w:rPr>
        <w:noProof/>
      </w:rPr>
      <w:drawing>
        <wp:anchor distT="0" distB="0" distL="114300" distR="114300" simplePos="0" relativeHeight="251663360" behindDoc="1" locked="0" layoutInCell="1" allowOverlap="1" wp14:anchorId="5EAAEE1B" wp14:editId="5E7D726D">
          <wp:simplePos x="0" y="0"/>
          <wp:positionH relativeFrom="column">
            <wp:posOffset>4840605</wp:posOffset>
          </wp:positionH>
          <wp:positionV relativeFrom="paragraph">
            <wp:posOffset>32385</wp:posOffset>
          </wp:positionV>
          <wp:extent cx="647700" cy="431800"/>
          <wp:effectExtent l="0" t="0" r="0" b="6350"/>
          <wp:wrapTight wrapText="bothSides">
            <wp:wrapPolygon edited="0">
              <wp:start x="0" y="0"/>
              <wp:lineTo x="0" y="20965"/>
              <wp:lineTo x="20965" y="20965"/>
              <wp:lineTo x="20965" y="0"/>
              <wp:lineTo x="0" y="0"/>
            </wp:wrapPolygon>
          </wp:wrapTight>
          <wp:docPr id="5" name="image" descr="The flag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europa.eu/european-union/sites/europaeu/files/docs/body/flag_black_white_l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1F4">
      <w:rPr>
        <w:rFonts w:cs="Open Sans"/>
        <w:b/>
        <w:noProof/>
        <w:sz w:val="16"/>
        <w:szCs w:val="16"/>
        <w:lang w:val="en-GB"/>
      </w:rPr>
      <w:t>Inclusion Europe</w:t>
    </w:r>
    <w:r w:rsidRPr="009611F4">
      <w:rPr>
        <w:rFonts w:cs="Open Sans"/>
        <w:noProof/>
        <w:sz w:val="16"/>
        <w:szCs w:val="16"/>
        <w:lang w:val="en-GB"/>
      </w:rPr>
      <w:br/>
      <w:t>European movement of people with intellectual disabilities and their families</w:t>
    </w:r>
    <w:r w:rsidRPr="009611F4">
      <w:rPr>
        <w:rFonts w:cs="Open Sans"/>
        <w:noProof/>
        <w:sz w:val="16"/>
        <w:szCs w:val="16"/>
        <w:lang w:val="en-GB"/>
      </w:rPr>
      <w:tab/>
    </w:r>
    <w:r w:rsidRPr="009611F4">
      <w:rPr>
        <w:rFonts w:cs="Open Sans"/>
        <w:noProof/>
        <w:sz w:val="16"/>
        <w:szCs w:val="16"/>
        <w:lang w:val="en-GB"/>
      </w:rPr>
      <w:tab/>
    </w:r>
    <w:r w:rsidRPr="009611F4">
      <w:rPr>
        <w:rFonts w:cs="Open Sans"/>
        <w:noProof/>
        <w:sz w:val="6"/>
        <w:szCs w:val="16"/>
        <w:lang w:val="en-GB"/>
      </w:rPr>
      <w:tab/>
    </w:r>
    <w:r w:rsidRPr="009611F4">
      <w:rPr>
        <w:rFonts w:cs="Open Sans"/>
        <w:noProof/>
        <w:sz w:val="6"/>
        <w:szCs w:val="16"/>
        <w:lang w:val="en-GB"/>
      </w:rPr>
      <w:tab/>
    </w:r>
    <w:r w:rsidRPr="009611F4">
      <w:rPr>
        <w:rFonts w:cs="Open Sans"/>
        <w:noProof/>
        <w:sz w:val="6"/>
        <w:szCs w:val="16"/>
        <w:lang w:val="en-GB"/>
      </w:rPr>
      <w:tab/>
    </w:r>
    <w:r w:rsidRPr="009611F4">
      <w:rPr>
        <w:rFonts w:cs="Open Sans"/>
        <w:noProof/>
        <w:sz w:val="6"/>
        <w:szCs w:val="16"/>
        <w:lang w:val="en-GB"/>
      </w:rPr>
      <w:tab/>
    </w:r>
    <w:r w:rsidRPr="009611F4">
      <w:rPr>
        <w:rFonts w:cs="Open Sans"/>
        <w:noProof/>
        <w:sz w:val="6"/>
        <w:szCs w:val="16"/>
        <w:lang w:val="en-GB"/>
      </w:rPr>
      <w:tab/>
    </w:r>
    <w:r w:rsidRPr="009611F4">
      <w:rPr>
        <w:rFonts w:cs="Open Sans"/>
        <w:noProof/>
        <w:sz w:val="6"/>
        <w:szCs w:val="16"/>
        <w:lang w:val="en-GB"/>
      </w:rPr>
      <w:tab/>
    </w:r>
  </w:p>
  <w:p w14:paraId="59895C9F" w14:textId="77777777" w:rsidR="00355B50" w:rsidRPr="004E3EB9" w:rsidRDefault="00355B50" w:rsidP="00355B50">
    <w:pPr>
      <w:tabs>
        <w:tab w:val="right" w:pos="8647"/>
      </w:tabs>
      <w:spacing w:before="60" w:after="0" w:line="240" w:lineRule="auto"/>
      <w:rPr>
        <w:rFonts w:cs="Open Sans"/>
        <w:noProof/>
        <w:sz w:val="6"/>
        <w:szCs w:val="16"/>
        <w:lang w:val="en-GB"/>
      </w:rPr>
    </w:pPr>
    <w:r w:rsidRPr="00682797">
      <w:rPr>
        <w:rFonts w:cs="Open Sans"/>
        <w:noProof/>
        <w:sz w:val="14"/>
        <w:szCs w:val="14"/>
        <w:lang w:val="en-GB"/>
      </w:rPr>
      <w:t xml:space="preserve">Avenue des </w:t>
    </w:r>
    <w:r>
      <w:rPr>
        <w:rFonts w:cs="Open Sans"/>
        <w:noProof/>
        <w:sz w:val="14"/>
        <w:szCs w:val="14"/>
        <w:lang w:val="en-GB"/>
      </w:rPr>
      <w:t>a</w:t>
    </w:r>
    <w:r w:rsidRPr="00682797">
      <w:rPr>
        <w:rFonts w:cs="Open Sans"/>
        <w:noProof/>
        <w:sz w:val="14"/>
        <w:szCs w:val="14"/>
        <w:lang w:val="en-GB"/>
      </w:rPr>
      <w:t>rts 3, 1210</w:t>
    </w:r>
    <w:r w:rsidRPr="008E0893">
      <w:rPr>
        <w:rFonts w:cs="Open Sans"/>
        <w:noProof/>
        <w:sz w:val="14"/>
        <w:szCs w:val="14"/>
        <w:lang w:val="en-GB"/>
      </w:rPr>
      <w:t xml:space="preserve"> Brussels, Belgium</w:t>
    </w:r>
    <w:r w:rsidRPr="008E0893">
      <w:rPr>
        <w:rFonts w:cs="Open Sans"/>
        <w:noProof/>
        <w:sz w:val="14"/>
        <w:szCs w:val="14"/>
        <w:lang w:val="en-GB"/>
      </w:rPr>
      <w:tab/>
    </w:r>
    <w:r w:rsidRPr="008E0893">
      <w:rPr>
        <w:rFonts w:cs="Open Sans"/>
        <w:noProof/>
        <w:sz w:val="14"/>
        <w:szCs w:val="14"/>
        <w:lang w:val="en-GB"/>
      </w:rPr>
      <w:br/>
      <w:t xml:space="preserve">+32 25 02 28 15 </w:t>
    </w:r>
    <w:r>
      <w:rPr>
        <w:rFonts w:cs="Open Sans"/>
        <w:noProof/>
        <w:sz w:val="14"/>
        <w:szCs w:val="14"/>
        <w:lang w:val="en-GB"/>
      </w:rPr>
      <w:tab/>
    </w:r>
    <w:r w:rsidRPr="008E0893">
      <w:rPr>
        <w:rFonts w:cs="Open Sans"/>
        <w:noProof/>
        <w:sz w:val="14"/>
        <w:szCs w:val="14"/>
        <w:lang w:val="en-GB"/>
      </w:rPr>
      <w:t>Co-funded by</w:t>
    </w:r>
    <w:r>
      <w:rPr>
        <w:rFonts w:cs="Open Sans"/>
        <w:noProof/>
        <w:sz w:val="14"/>
        <w:szCs w:val="14"/>
        <w:lang w:val="en-GB"/>
      </w:rPr>
      <w:br/>
    </w:r>
    <w:hyperlink r:id="rId2" w:history="1">
      <w:r w:rsidRPr="00770499">
        <w:rPr>
          <w:rFonts w:cs="Open Sans"/>
          <w:sz w:val="14"/>
          <w:szCs w:val="14"/>
          <w:lang w:val="en-GB"/>
        </w:rPr>
        <w:t>secretariat@inclusion-europe.org</w:t>
      </w:r>
    </w:hyperlink>
    <w:r w:rsidRPr="008E0893">
      <w:rPr>
        <w:rFonts w:cs="Open Sans"/>
        <w:noProof/>
        <w:sz w:val="14"/>
        <w:szCs w:val="14"/>
        <w:lang w:val="en-GB"/>
      </w:rPr>
      <w:t xml:space="preserve"> </w:t>
    </w:r>
    <w:r w:rsidRPr="008E0893">
      <w:rPr>
        <w:rFonts w:cs="Open Sans"/>
        <w:noProof/>
        <w:sz w:val="14"/>
        <w:szCs w:val="14"/>
        <w:lang w:val="en-GB"/>
      </w:rPr>
      <w:tab/>
      <w:t>the European Union</w:t>
    </w:r>
    <w:r w:rsidRPr="008E0893">
      <w:rPr>
        <w:rFonts w:cs="Open Sans"/>
        <w:noProof/>
        <w:sz w:val="14"/>
        <w:szCs w:val="14"/>
        <w:lang w:val="en-GB"/>
      </w:rPr>
      <w:br/>
    </w:r>
  </w:p>
  <w:p w14:paraId="05B312A3" w14:textId="77777777" w:rsidR="00355B50" w:rsidRPr="008E0893" w:rsidRDefault="00355B50" w:rsidP="00355B50">
    <w:pPr>
      <w:tabs>
        <w:tab w:val="left" w:pos="284"/>
        <w:tab w:val="left" w:pos="2552"/>
        <w:tab w:val="left" w:pos="4678"/>
        <w:tab w:val="right" w:pos="8647"/>
      </w:tabs>
      <w:spacing w:before="60" w:after="0" w:line="240" w:lineRule="auto"/>
      <w:rPr>
        <w:rFonts w:cs="Open Sans"/>
        <w:noProof/>
        <w:sz w:val="14"/>
        <w:szCs w:val="14"/>
        <w:lang w:val="en-GB"/>
      </w:rPr>
    </w:pPr>
    <w:r w:rsidRPr="008E0893">
      <w:rPr>
        <w:rFonts w:cs="Open Sans"/>
        <w:noProof/>
        <w:sz w:val="14"/>
        <w:szCs w:val="14"/>
        <w:lang w:val="en-GB"/>
      </w:rPr>
      <w:drawing>
        <wp:anchor distT="0" distB="0" distL="114300" distR="114300" simplePos="0" relativeHeight="251662336" behindDoc="0" locked="0" layoutInCell="1" allowOverlap="1" wp14:anchorId="0D9B99AA" wp14:editId="2562CEF9">
          <wp:simplePos x="0" y="0"/>
          <wp:positionH relativeFrom="margin">
            <wp:posOffset>4101465</wp:posOffset>
          </wp:positionH>
          <wp:positionV relativeFrom="paragraph">
            <wp:posOffset>34925</wp:posOffset>
          </wp:positionV>
          <wp:extent cx="97155" cy="97155"/>
          <wp:effectExtent l="0" t="0" r="0" b="0"/>
          <wp:wrapNone/>
          <wp:docPr id="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pic:cNvPicPr>
                    <a:picLocks noChangeAspect="1" noChangeArrowheads="1"/>
                  </pic:cNvPicPr>
                </pic:nvPicPr>
                <pic:blipFill>
                  <a:blip r:embed="rId3" cstate="print"/>
                  <a:stretch>
                    <a:fillRect/>
                  </a:stretch>
                </pic:blipFill>
                <pic:spPr bwMode="auto">
                  <a:xfrm>
                    <a:off x="0" y="0"/>
                    <a:ext cx="97155" cy="97155"/>
                  </a:xfrm>
                  <a:prstGeom prst="rect">
                    <a:avLst/>
                  </a:prstGeom>
                </pic:spPr>
              </pic:pic>
            </a:graphicData>
          </a:graphic>
          <wp14:sizeRelH relativeFrom="margin">
            <wp14:pctWidth>0</wp14:pctWidth>
          </wp14:sizeRelH>
          <wp14:sizeRelV relativeFrom="margin">
            <wp14:pctHeight>0</wp14:pctHeight>
          </wp14:sizeRelV>
        </wp:anchor>
      </w:drawing>
    </w:r>
    <w:r w:rsidRPr="008E0893">
      <w:rPr>
        <w:rFonts w:cs="Open Sans"/>
        <w:noProof/>
        <w:sz w:val="14"/>
        <w:szCs w:val="14"/>
        <w:lang w:val="en-GB"/>
      </w:rPr>
      <w:drawing>
        <wp:anchor distT="0" distB="0" distL="114300" distR="114300" simplePos="0" relativeHeight="251661312" behindDoc="0" locked="0" layoutInCell="1" allowOverlap="1" wp14:anchorId="5AAAF37B" wp14:editId="6B4BAB65">
          <wp:simplePos x="0" y="0"/>
          <wp:positionH relativeFrom="page">
            <wp:posOffset>4007485</wp:posOffset>
          </wp:positionH>
          <wp:positionV relativeFrom="paragraph">
            <wp:posOffset>35560</wp:posOffset>
          </wp:positionV>
          <wp:extent cx="97155" cy="97155"/>
          <wp:effectExtent l="0" t="0" r="0" b="0"/>
          <wp:wrapNone/>
          <wp:docPr id="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pic:cNvPicPr>
                    <a:picLocks noChangeAspect="1" noChangeArrowheads="1"/>
                  </pic:cNvPicPr>
                </pic:nvPicPr>
                <pic:blipFill>
                  <a:blip r:embed="rId4" cstate="print"/>
                  <a:stretch>
                    <a:fillRect/>
                  </a:stretch>
                </pic:blipFill>
                <pic:spPr bwMode="auto">
                  <a:xfrm>
                    <a:off x="0" y="0"/>
                    <a:ext cx="97155" cy="97155"/>
                  </a:xfrm>
                  <a:prstGeom prst="rect">
                    <a:avLst/>
                  </a:prstGeom>
                </pic:spPr>
              </pic:pic>
            </a:graphicData>
          </a:graphic>
          <wp14:sizeRelH relativeFrom="margin">
            <wp14:pctWidth>0</wp14:pctWidth>
          </wp14:sizeRelH>
          <wp14:sizeRelV relativeFrom="margin">
            <wp14:pctHeight>0</wp14:pctHeight>
          </wp14:sizeRelV>
        </wp:anchor>
      </w:drawing>
    </w:r>
    <w:r w:rsidRPr="008E0893">
      <w:rPr>
        <w:rFonts w:cs="Open Sans"/>
        <w:noProof/>
        <w:sz w:val="14"/>
        <w:szCs w:val="14"/>
        <w:lang w:val="en-GB"/>
      </w:rPr>
      <w:drawing>
        <wp:anchor distT="0" distB="0" distL="114300" distR="114300" simplePos="0" relativeHeight="251660288" behindDoc="0" locked="0" layoutInCell="1" allowOverlap="1" wp14:anchorId="50FB293E" wp14:editId="4E6A0A90">
          <wp:simplePos x="0" y="0"/>
          <wp:positionH relativeFrom="margin">
            <wp:posOffset>1488768</wp:posOffset>
          </wp:positionH>
          <wp:positionV relativeFrom="paragraph">
            <wp:posOffset>36195</wp:posOffset>
          </wp:positionV>
          <wp:extent cx="97155" cy="97155"/>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5" cstate="print"/>
                  <a:srcRect l="-193" t="-193" r="-193" b="-193"/>
                  <a:stretch>
                    <a:fillRect/>
                  </a:stretch>
                </pic:blipFill>
                <pic:spPr bwMode="auto">
                  <a:xfrm>
                    <a:off x="0" y="0"/>
                    <a:ext cx="97155" cy="97155"/>
                  </a:xfrm>
                  <a:prstGeom prst="rect">
                    <a:avLst/>
                  </a:prstGeom>
                </pic:spPr>
              </pic:pic>
            </a:graphicData>
          </a:graphic>
          <wp14:sizeRelH relativeFrom="margin">
            <wp14:pctWidth>0</wp14:pctWidth>
          </wp14:sizeRelH>
          <wp14:sizeRelV relativeFrom="margin">
            <wp14:pctHeight>0</wp14:pctHeight>
          </wp14:sizeRelV>
        </wp:anchor>
      </w:drawing>
    </w:r>
    <w:hyperlink r:id="rId6" w:history="1">
      <w:r w:rsidRPr="008E0893">
        <w:rPr>
          <w:rFonts w:cs="Open Sans"/>
          <w:noProof/>
          <w:sz w:val="14"/>
          <w:szCs w:val="14"/>
          <w:lang w:val="en-GB"/>
        </w:rPr>
        <w:t>www.inclusion-europe.eu</w:t>
      </w:r>
    </w:hyperlink>
    <w:r>
      <w:rPr>
        <w:rFonts w:cs="Open Sans"/>
        <w:noProof/>
        <w:sz w:val="14"/>
        <w:szCs w:val="14"/>
        <w:lang w:val="en-GB"/>
      </w:rPr>
      <w:tab/>
    </w:r>
    <w:r w:rsidRPr="008E0893">
      <w:rPr>
        <w:rFonts w:cs="Open Sans"/>
        <w:noProof/>
        <w:sz w:val="14"/>
        <w:szCs w:val="14"/>
        <w:lang w:val="en-GB"/>
      </w:rPr>
      <w:t>@InclusionEurope</w:t>
    </w:r>
    <w:r>
      <w:rPr>
        <w:rFonts w:cs="Open Sans"/>
        <w:noProof/>
        <w:sz w:val="14"/>
        <w:szCs w:val="14"/>
        <w:lang w:val="en-GB"/>
      </w:rPr>
      <w:tab/>
    </w:r>
    <w:r w:rsidRPr="008E0893">
      <w:rPr>
        <w:rFonts w:cs="Open Sans"/>
        <w:noProof/>
        <w:sz w:val="14"/>
        <w:szCs w:val="14"/>
        <w:lang w:val="en-GB"/>
      </w:rPr>
      <w:t>@InclusionEurope</w:t>
    </w:r>
    <w:r w:rsidRPr="008E0893">
      <w:rPr>
        <w:rFonts w:cs="Open Sans"/>
        <w:noProof/>
        <w:sz w:val="14"/>
        <w:szCs w:val="14"/>
        <w:lang w:val="en-GB"/>
      </w:rPr>
      <w:tab/>
    </w:r>
    <w:r>
      <w:rPr>
        <w:rFonts w:cs="Open Sans"/>
        <w:noProof/>
        <w:sz w:val="14"/>
        <w:szCs w:val="14"/>
        <w:lang w:val="en-GB"/>
      </w:rPr>
      <w:t>y</w:t>
    </w:r>
    <w:r w:rsidRPr="008E0893">
      <w:rPr>
        <w:rFonts w:cs="Open Sans"/>
        <w:noProof/>
        <w:sz w:val="14"/>
        <w:szCs w:val="14"/>
        <w:lang w:val="en-GB"/>
      </w:rPr>
      <w:t>outube.com/InclusionEurope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EE5B7" w14:textId="77777777" w:rsidR="00355B50" w:rsidRDefault="00355B50" w:rsidP="00355B50">
      <w:pPr>
        <w:spacing w:before="0" w:after="0" w:line="240" w:lineRule="auto"/>
      </w:pPr>
      <w:r>
        <w:separator/>
      </w:r>
    </w:p>
  </w:footnote>
  <w:footnote w:type="continuationSeparator" w:id="0">
    <w:p w14:paraId="7533D16D" w14:textId="77777777" w:rsidR="00355B50" w:rsidRDefault="00355B50" w:rsidP="00355B50">
      <w:pPr>
        <w:spacing w:before="0" w:after="0" w:line="240" w:lineRule="auto"/>
      </w:pPr>
      <w:r>
        <w:continuationSeparator/>
      </w:r>
    </w:p>
  </w:footnote>
  <w:footnote w:id="1">
    <w:p w14:paraId="632B61AE" w14:textId="77777777" w:rsidR="00355B50" w:rsidRPr="00D235CB" w:rsidRDefault="00355B50" w:rsidP="00355B50">
      <w:pPr>
        <w:pStyle w:val="FootnoteText"/>
        <w:spacing w:before="0" w:after="0" w:line="240" w:lineRule="auto"/>
        <w:rPr>
          <w:rFonts w:cs="Open Sans"/>
          <w:sz w:val="16"/>
          <w:szCs w:val="16"/>
          <w:lang w:val="en-GB"/>
        </w:rPr>
      </w:pPr>
      <w:r w:rsidRPr="00D235CB">
        <w:rPr>
          <w:rStyle w:val="FootnoteReference"/>
          <w:rFonts w:cs="Open Sans"/>
          <w:sz w:val="16"/>
          <w:szCs w:val="16"/>
        </w:rPr>
        <w:footnoteRef/>
      </w:r>
      <w:r w:rsidRPr="00D235CB">
        <w:rPr>
          <w:rFonts w:cs="Open Sans"/>
          <w:sz w:val="16"/>
          <w:szCs w:val="16"/>
        </w:rPr>
        <w:t xml:space="preserve"> </w:t>
      </w:r>
      <w:r w:rsidRPr="00D235CB">
        <w:rPr>
          <w:rFonts w:cs="Open Sans"/>
          <w:sz w:val="16"/>
          <w:szCs w:val="16"/>
          <w:lang w:val="en-GB"/>
        </w:rPr>
        <w:t xml:space="preserve">Life after violence. </w:t>
      </w:r>
      <w:hyperlink r:id="rId1" w:history="1">
        <w:r w:rsidRPr="00D235CB">
          <w:rPr>
            <w:rStyle w:val="Hyperlink"/>
            <w:rFonts w:cs="Open Sans"/>
            <w:sz w:val="16"/>
            <w:szCs w:val="16"/>
            <w:lang w:val="en-GB"/>
          </w:rPr>
          <w:t>https://www.inclusion-europe.eu/wp-content/uploads/2019/02/LAV-Publication_web.pdf</w:t>
        </w:r>
      </w:hyperlink>
      <w:r w:rsidRPr="00D235CB">
        <w:rPr>
          <w:rFonts w:cs="Open Sans"/>
          <w:sz w:val="16"/>
          <w:szCs w:val="16"/>
          <w:lang w:val="en-GB"/>
        </w:rPr>
        <w:t xml:space="preserve"> </w:t>
      </w:r>
    </w:p>
  </w:footnote>
  <w:footnote w:id="2">
    <w:p w14:paraId="124F3E22" w14:textId="77777777" w:rsidR="00355B50" w:rsidRPr="00D235CB" w:rsidRDefault="00355B50" w:rsidP="00355B50">
      <w:pPr>
        <w:pStyle w:val="FootnoteText"/>
        <w:spacing w:before="0" w:after="0" w:line="240" w:lineRule="auto"/>
        <w:rPr>
          <w:sz w:val="16"/>
          <w:szCs w:val="16"/>
          <w:lang w:val="en-GB"/>
        </w:rPr>
      </w:pPr>
      <w:r w:rsidRPr="00D235CB">
        <w:rPr>
          <w:rStyle w:val="FootnoteReference"/>
          <w:sz w:val="16"/>
          <w:szCs w:val="16"/>
        </w:rPr>
        <w:footnoteRef/>
      </w:r>
      <w:r w:rsidRPr="00D235CB">
        <w:rPr>
          <w:sz w:val="16"/>
          <w:szCs w:val="16"/>
        </w:rPr>
        <w:t xml:space="preserve"> </w:t>
      </w:r>
      <w:r>
        <w:rPr>
          <w:sz w:val="16"/>
          <w:szCs w:val="16"/>
        </w:rPr>
        <w:t>„I</w:t>
      </w:r>
      <w:r w:rsidRPr="000D47F0">
        <w:rPr>
          <w:sz w:val="16"/>
          <w:szCs w:val="16"/>
        </w:rPr>
        <w:t>n many countries</w:t>
      </w:r>
      <w:r>
        <w:rPr>
          <w:sz w:val="16"/>
          <w:szCs w:val="16"/>
        </w:rPr>
        <w:t xml:space="preserve">… </w:t>
      </w:r>
      <w:r w:rsidRPr="000D47F0">
        <w:rPr>
          <w:sz w:val="16"/>
          <w:szCs w:val="16"/>
        </w:rPr>
        <w:t>persons with intellectual disabilities and complex needs are most likely to still live in institutional settings</w:t>
      </w:r>
      <w:r>
        <w:rPr>
          <w:sz w:val="16"/>
          <w:szCs w:val="16"/>
        </w:rPr>
        <w:t xml:space="preserve">“ </w:t>
      </w:r>
      <w:hyperlink r:id="rId2" w:history="1">
        <w:r w:rsidRPr="00781792">
          <w:rPr>
            <w:rStyle w:val="Hyperlink"/>
            <w:sz w:val="16"/>
            <w:szCs w:val="16"/>
          </w:rPr>
          <w:t>https://deinstitutionalisationdotcom.files.wordpress.com/2020/05/eeg-di-report-2020-1.pdf</w:t>
        </w:r>
      </w:hyperlink>
      <w:r>
        <w:rPr>
          <w:sz w:val="16"/>
          <w:szCs w:val="16"/>
        </w:rPr>
        <w:t xml:space="preserve"> </w:t>
      </w:r>
    </w:p>
  </w:footnote>
  <w:footnote w:id="3">
    <w:p w14:paraId="050F63BD" w14:textId="77777777" w:rsidR="00355B50" w:rsidRPr="00D235CB" w:rsidRDefault="00355B50" w:rsidP="00355B50">
      <w:pPr>
        <w:pStyle w:val="FootnoteText"/>
        <w:spacing w:before="0" w:after="0" w:line="240" w:lineRule="auto"/>
        <w:rPr>
          <w:rFonts w:cs="Open Sans"/>
          <w:sz w:val="16"/>
          <w:szCs w:val="16"/>
          <w:lang w:val="cs-CZ"/>
        </w:rPr>
      </w:pPr>
      <w:r w:rsidRPr="00D235CB">
        <w:rPr>
          <w:rStyle w:val="FootnoteReference"/>
          <w:rFonts w:cs="Open Sans"/>
          <w:sz w:val="16"/>
          <w:szCs w:val="16"/>
        </w:rPr>
        <w:footnoteRef/>
      </w:r>
      <w:r w:rsidRPr="00D235CB">
        <w:rPr>
          <w:rFonts w:cs="Open Sans"/>
          <w:sz w:val="16"/>
          <w:szCs w:val="16"/>
        </w:rPr>
        <w:t xml:space="preserve"> </w:t>
      </w:r>
      <w:hyperlink r:id="rId3" w:history="1">
        <w:r w:rsidRPr="00781792">
          <w:rPr>
            <w:rStyle w:val="Hyperlink"/>
            <w:rFonts w:cs="Open Sans"/>
            <w:sz w:val="16"/>
            <w:szCs w:val="16"/>
          </w:rPr>
          <w:t>https://www.inclusion-europe.eu/children-with-disabilities-deserve-a-life-outside-institutions/</w:t>
        </w:r>
      </w:hyperlink>
      <w:r>
        <w:rPr>
          <w:rFonts w:cs="Open Sans"/>
          <w:sz w:val="16"/>
          <w:szCs w:val="16"/>
        </w:rPr>
        <w:t xml:space="preserve"> </w:t>
      </w:r>
    </w:p>
  </w:footnote>
  <w:footnote w:id="4">
    <w:p w14:paraId="3A7204C7" w14:textId="77777777" w:rsidR="00355B50" w:rsidRPr="00D235CB" w:rsidRDefault="00355B50" w:rsidP="00355B50">
      <w:pPr>
        <w:pStyle w:val="FootnoteText"/>
        <w:spacing w:before="0" w:after="0" w:line="240" w:lineRule="auto"/>
        <w:rPr>
          <w:rFonts w:cs="Open Sans"/>
          <w:sz w:val="16"/>
          <w:szCs w:val="16"/>
          <w:lang w:val="cs-CZ"/>
        </w:rPr>
      </w:pPr>
      <w:r w:rsidRPr="00D235CB">
        <w:rPr>
          <w:rStyle w:val="FootnoteReference"/>
          <w:rFonts w:cs="Open Sans"/>
          <w:sz w:val="16"/>
          <w:szCs w:val="16"/>
        </w:rPr>
        <w:footnoteRef/>
      </w:r>
      <w:r w:rsidRPr="00D235CB">
        <w:rPr>
          <w:rFonts w:cs="Open Sans"/>
          <w:sz w:val="16"/>
          <w:szCs w:val="16"/>
        </w:rPr>
        <w:t xml:space="preserve"> </w:t>
      </w:r>
      <w:hyperlink r:id="rId4" w:history="1">
        <w:r w:rsidRPr="00D235CB">
          <w:rPr>
            <w:rStyle w:val="Hyperlink"/>
            <w:rFonts w:cs="Open Sans"/>
            <w:sz w:val="16"/>
            <w:szCs w:val="16"/>
          </w:rPr>
          <w:t>https://www.inclusion-europe.eu/what-will-happen-once-were-not-there-anymore-we-think-a-lot-about-it/</w:t>
        </w:r>
      </w:hyperlink>
      <w:r w:rsidRPr="00D235CB">
        <w:rPr>
          <w:rFonts w:cs="Open Sans"/>
          <w:sz w:val="16"/>
          <w:szCs w:val="16"/>
        </w:rPr>
        <w:t xml:space="preserve"> </w:t>
      </w:r>
    </w:p>
  </w:footnote>
  <w:footnote w:id="5">
    <w:p w14:paraId="432E2C32" w14:textId="77777777" w:rsidR="00355B50" w:rsidRPr="003876C8" w:rsidRDefault="00355B50" w:rsidP="00355B50">
      <w:pPr>
        <w:pStyle w:val="FootnoteText"/>
        <w:spacing w:before="0" w:after="0" w:line="240" w:lineRule="auto"/>
        <w:rPr>
          <w:lang w:val="en-GB"/>
        </w:rPr>
      </w:pPr>
      <w:r>
        <w:rPr>
          <w:rStyle w:val="FootnoteReference"/>
        </w:rPr>
        <w:footnoteRef/>
      </w:r>
      <w:r>
        <w:t xml:space="preserve"> </w:t>
      </w:r>
      <w:r w:rsidRPr="009331D0">
        <w:rPr>
          <w:sz w:val="16"/>
          <w:szCs w:val="16"/>
          <w:lang w:val="en-GB"/>
        </w:rPr>
        <w:t>Deinstitutionalisation already receives a lot of criticism for “leading to homelessness, abandoning people”. It would be important to be careful about the language.</w:t>
      </w:r>
    </w:p>
  </w:footnote>
  <w:footnote w:id="6">
    <w:p w14:paraId="5D625533" w14:textId="77777777" w:rsidR="00355B50" w:rsidRPr="00D235CB" w:rsidRDefault="00355B50" w:rsidP="00355B50">
      <w:pPr>
        <w:pStyle w:val="FootnoteText"/>
        <w:spacing w:before="0" w:after="0" w:line="240" w:lineRule="auto"/>
        <w:rPr>
          <w:rFonts w:cs="Open Sans"/>
          <w:sz w:val="16"/>
          <w:szCs w:val="16"/>
        </w:rPr>
      </w:pPr>
      <w:r w:rsidRPr="00D235CB">
        <w:rPr>
          <w:rStyle w:val="FootnoteReference"/>
          <w:rFonts w:cs="Open Sans"/>
          <w:sz w:val="16"/>
          <w:szCs w:val="16"/>
        </w:rPr>
        <w:footnoteRef/>
      </w:r>
      <w:r w:rsidRPr="00D235CB">
        <w:rPr>
          <w:rFonts w:cs="Open Sans"/>
          <w:sz w:val="16"/>
          <w:szCs w:val="16"/>
        </w:rPr>
        <w:t xml:space="preserve"> </w:t>
      </w:r>
      <w:r w:rsidRPr="00D235CB">
        <w:rPr>
          <w:rFonts w:cs="Open Sans"/>
          <w:sz w:val="16"/>
          <w:szCs w:val="16"/>
        </w:rPr>
        <w:t xml:space="preserve">Checklist to ensure EU funded measures contribute to independent living by developing and ensuring access to family-based and community-based services </w:t>
      </w:r>
      <w:hyperlink r:id="rId5" w:history="1">
        <w:r w:rsidRPr="00D235CB">
          <w:rPr>
            <w:rStyle w:val="Hyperlink"/>
            <w:rFonts w:cs="Open Sans"/>
            <w:sz w:val="16"/>
            <w:szCs w:val="16"/>
          </w:rPr>
          <w:t>https://www.inclusion-europe.eu/wp-content/uploads/2015/03/Checklist-to-ensure-EU-funded-measures-contribute-to-independent-living-by-developing-and-ensuring-access-to-family-based-and-community-based-services.pdf</w:t>
        </w:r>
      </w:hyperlink>
      <w:r w:rsidRPr="00D235CB">
        <w:rPr>
          <w:rFonts w:cs="Open Sans"/>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79F8" w14:textId="77777777" w:rsidR="00355B50" w:rsidRPr="00D50B36" w:rsidRDefault="00355B50" w:rsidP="00355B50">
    <w:pPr>
      <w:pStyle w:val="Header"/>
      <w:tabs>
        <w:tab w:val="clear" w:pos="4320"/>
        <w:tab w:val="clear" w:pos="8640"/>
        <w:tab w:val="left" w:pos="295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AADC" w14:textId="77777777" w:rsidR="00355B50" w:rsidRDefault="00355B50" w:rsidP="00355B50">
    <w:pPr>
      <w:tabs>
        <w:tab w:val="left" w:pos="2977"/>
        <w:tab w:val="center" w:pos="4513"/>
        <w:tab w:val="right" w:pos="9026"/>
      </w:tabs>
      <w:spacing w:after="0" w:line="240" w:lineRule="auto"/>
      <w:ind w:left="708"/>
      <w:jc w:val="right"/>
      <w:rPr>
        <w:rFonts w:cstheme="minorBidi"/>
        <w:b/>
        <w:noProof/>
        <w:color w:val="ED0F69"/>
        <w:sz w:val="20"/>
        <w:lang w:val="pt-PT" w:eastAsia="pt-PT"/>
      </w:rPr>
    </w:pPr>
    <w:r w:rsidRPr="00DF505B">
      <w:rPr>
        <w:noProof/>
        <w:sz w:val="20"/>
      </w:rPr>
      <w:drawing>
        <wp:anchor distT="0" distB="0" distL="114300" distR="114300" simplePos="0" relativeHeight="251659264" behindDoc="1" locked="0" layoutInCell="1" allowOverlap="1" wp14:anchorId="15ABE0F6" wp14:editId="7DE1E8BF">
          <wp:simplePos x="0" y="0"/>
          <wp:positionH relativeFrom="margin">
            <wp:posOffset>-285257</wp:posOffset>
          </wp:positionH>
          <wp:positionV relativeFrom="paragraph">
            <wp:posOffset>-408305</wp:posOffset>
          </wp:positionV>
          <wp:extent cx="2145600" cy="1202400"/>
          <wp:effectExtent l="0" t="0" r="7620" b="0"/>
          <wp:wrapTight wrapText="bothSides">
            <wp:wrapPolygon edited="0">
              <wp:start x="0" y="0"/>
              <wp:lineTo x="0" y="21223"/>
              <wp:lineTo x="21485" y="21223"/>
              <wp:lineTo x="214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00" cy="120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14C06A" w14:textId="77777777" w:rsidR="00355B50" w:rsidRDefault="00355B50" w:rsidP="00355B50">
    <w:pPr>
      <w:tabs>
        <w:tab w:val="left" w:pos="2977"/>
      </w:tabs>
      <w:spacing w:after="0" w:line="240" w:lineRule="auto"/>
      <w:rPr>
        <w:rFonts w:cstheme="minorBidi"/>
        <w:b/>
        <w:color w:val="000000" w:themeColor="text1"/>
        <w:spacing w:val="6"/>
        <w:sz w:val="18"/>
        <w:szCs w:val="18"/>
        <w:lang w:val="en-GB" w:eastAsia="en-US"/>
      </w:rPr>
    </w:pPr>
    <w:r>
      <w:rPr>
        <w:rFonts w:cstheme="minorBidi"/>
        <w:b/>
        <w:noProof/>
        <w:color w:val="ED0F69"/>
        <w:spacing w:val="10"/>
        <w:sz w:val="18"/>
        <w:szCs w:val="18"/>
        <w:lang w:val="pt-PT" w:eastAsia="pt-PT"/>
      </w:rPr>
      <w:tab/>
    </w:r>
    <w:r w:rsidRPr="00862D51">
      <w:rPr>
        <w:rFonts w:cstheme="minorBidi"/>
        <w:b/>
        <w:noProof/>
        <w:color w:val="000000" w:themeColor="text1"/>
        <w:spacing w:val="6"/>
        <w:sz w:val="18"/>
        <w:szCs w:val="18"/>
        <w:lang w:val="pt-PT" w:eastAsia="pt-PT"/>
      </w:rPr>
      <w:t>Ambitions. Rights. Belonging.</w:t>
    </w:r>
    <w:r w:rsidRPr="00862D51">
      <w:rPr>
        <w:rFonts w:cstheme="minorBidi"/>
        <w:b/>
        <w:color w:val="000000" w:themeColor="text1"/>
        <w:spacing w:val="6"/>
        <w:sz w:val="18"/>
        <w:szCs w:val="18"/>
        <w:lang w:val="en-GB" w:eastAsia="en-US"/>
      </w:rPr>
      <w:t xml:space="preserve"> </w:t>
    </w:r>
  </w:p>
  <w:p w14:paraId="6726A482" w14:textId="77777777" w:rsidR="00355B50" w:rsidRDefault="00355B50" w:rsidP="00355B50">
    <w:pPr>
      <w:tabs>
        <w:tab w:val="center" w:pos="4513"/>
        <w:tab w:val="right" w:pos="9026"/>
      </w:tabs>
      <w:spacing w:after="0" w:line="240" w:lineRule="auto"/>
      <w:rPr>
        <w:rFonts w:cstheme="minorHAnsi"/>
        <w:sz w:val="20"/>
        <w:lang w:val="en-GB" w:eastAsia="en-US"/>
      </w:rPr>
    </w:pPr>
  </w:p>
  <w:p w14:paraId="5081EEC2" w14:textId="77777777" w:rsidR="00355B50" w:rsidRDefault="00355B50" w:rsidP="00355B50">
    <w:pPr>
      <w:tabs>
        <w:tab w:val="center" w:pos="4513"/>
        <w:tab w:val="right" w:pos="9026"/>
      </w:tabs>
      <w:spacing w:after="0" w:line="240" w:lineRule="auto"/>
      <w:rPr>
        <w:rFonts w:cstheme="minorHAnsi"/>
        <w:sz w:val="20"/>
        <w:lang w:val="en-GB" w:eastAsia="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50"/>
    <w:rsid w:val="00355B50"/>
    <w:rsid w:val="004E3B9A"/>
    <w:rsid w:val="007E6AB9"/>
    <w:rsid w:val="00DA1D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6DEB44"/>
  <w15:chartTrackingRefBased/>
  <w15:docId w15:val="{6B9EAB0D-1335-4F20-8258-EBD0F612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B50"/>
    <w:pPr>
      <w:spacing w:before="120" w:after="120" w:line="320" w:lineRule="atLeast"/>
    </w:pPr>
    <w:rPr>
      <w:rFonts w:ascii="Open Sans" w:eastAsia="Times New Roman" w:hAnsi="Open Sans" w:cs="Times New Roman"/>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5B50"/>
    <w:rPr>
      <w:color w:val="0000FF"/>
      <w:u w:val="single"/>
    </w:rPr>
  </w:style>
  <w:style w:type="paragraph" w:styleId="Header">
    <w:name w:val="header"/>
    <w:basedOn w:val="Normal"/>
    <w:link w:val="HeaderChar"/>
    <w:rsid w:val="00355B50"/>
    <w:pPr>
      <w:tabs>
        <w:tab w:val="center" w:pos="4320"/>
        <w:tab w:val="right" w:pos="8640"/>
      </w:tabs>
    </w:pPr>
  </w:style>
  <w:style w:type="character" w:customStyle="1" w:styleId="HeaderChar">
    <w:name w:val="Header Char"/>
    <w:basedOn w:val="DefaultParagraphFont"/>
    <w:link w:val="Header"/>
    <w:rsid w:val="00355B50"/>
    <w:rPr>
      <w:rFonts w:ascii="Open Sans" w:eastAsia="Times New Roman" w:hAnsi="Open Sans" w:cs="Times New Roman"/>
      <w:szCs w:val="24"/>
      <w:lang w:val="de-DE" w:eastAsia="de-DE"/>
    </w:rPr>
  </w:style>
  <w:style w:type="character" w:styleId="FootnoteReference">
    <w:name w:val="footnote reference"/>
    <w:basedOn w:val="DefaultParagraphFont"/>
    <w:uiPriority w:val="99"/>
    <w:rsid w:val="00355B50"/>
    <w:rPr>
      <w:vertAlign w:val="superscript"/>
    </w:rPr>
  </w:style>
  <w:style w:type="paragraph" w:styleId="FootnoteText">
    <w:name w:val="footnote text"/>
    <w:basedOn w:val="Normal"/>
    <w:link w:val="FootnoteTextChar"/>
    <w:uiPriority w:val="99"/>
    <w:rsid w:val="00355B50"/>
    <w:rPr>
      <w:sz w:val="20"/>
      <w:szCs w:val="20"/>
    </w:rPr>
  </w:style>
  <w:style w:type="character" w:customStyle="1" w:styleId="FootnoteTextChar">
    <w:name w:val="Footnote Text Char"/>
    <w:basedOn w:val="DefaultParagraphFont"/>
    <w:link w:val="FootnoteText"/>
    <w:uiPriority w:val="99"/>
    <w:rsid w:val="00355B50"/>
    <w:rPr>
      <w:rFonts w:ascii="Open Sans" w:eastAsia="Times New Roman" w:hAnsi="Open Sans"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secretariat@inclusion-europe.org" TargetMode="External"/><Relationship Id="rId1" Type="http://schemas.openxmlformats.org/officeDocument/2006/relationships/image" Target="media/image3.jpeg"/><Relationship Id="rId6" Type="http://schemas.openxmlformats.org/officeDocument/2006/relationships/hyperlink" Target="http://www.inclusion-europe.eu" TargetMode="External"/><Relationship Id="rId5" Type="http://schemas.openxmlformats.org/officeDocument/2006/relationships/image" Target="media/image6.png"/><Relationship Id="rId4"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inclusion-europe.eu/children-with-disabilities-deserve-a-life-outside-institutions/" TargetMode="External"/><Relationship Id="rId2" Type="http://schemas.openxmlformats.org/officeDocument/2006/relationships/hyperlink" Target="https://deinstitutionalisationdotcom.files.wordpress.com/2020/05/eeg-di-report-2020-1.pdf" TargetMode="External"/><Relationship Id="rId1" Type="http://schemas.openxmlformats.org/officeDocument/2006/relationships/hyperlink" Target="https://www.inclusion-europe.eu/wp-content/uploads/2019/02/LAV-Publication_web.pdf" TargetMode="External"/><Relationship Id="rId5" Type="http://schemas.openxmlformats.org/officeDocument/2006/relationships/hyperlink" Target="https://www.inclusion-europe.eu/wp-content/uploads/2015/03/Checklist-to-ensure-EU-funded-measures-contribute-to-independent-living-by-developing-and-ensuring-access-to-family-based-and-community-based-services.pdf" TargetMode="External"/><Relationship Id="rId4" Type="http://schemas.openxmlformats.org/officeDocument/2006/relationships/hyperlink" Target="https://www.inclusion-europe.eu/what-will-happen-once-were-not-there-anymore-we-think-a-lot-abou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633</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Portal</dc:creator>
  <cp:keywords/>
  <dc:description/>
  <cp:lastModifiedBy>Helen Portal</cp:lastModifiedBy>
  <cp:revision>1</cp:revision>
  <dcterms:created xsi:type="dcterms:W3CDTF">2021-05-12T20:33:00Z</dcterms:created>
  <dcterms:modified xsi:type="dcterms:W3CDTF">2021-05-12T20:39:00Z</dcterms:modified>
</cp:coreProperties>
</file>