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A10F" w14:textId="77777777" w:rsidR="0034140F" w:rsidRDefault="0034140F" w:rsidP="00FE0B0B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4A54467B" w14:textId="77777777" w:rsidR="0034140F" w:rsidRDefault="0034140F" w:rsidP="00FE0B0B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1069E8A3" w14:textId="7C4DA8DE" w:rsidR="00FE0B0B" w:rsidRPr="00FE0B0B" w:rsidRDefault="00FE0B0B" w:rsidP="00FE0B0B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Petice na ochranu práv lidí s mentálním postižením a jejich rodin v době naléhavé situace v souvislosti s Covid-19. </w:t>
      </w:r>
    </w:p>
    <w:p w14:paraId="4A0E5F19" w14:textId="77777777" w:rsidR="00FE0B0B" w:rsidRPr="0034140F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5B5FD106" w14:textId="77777777" w:rsidR="00FE0B0B" w:rsidRPr="0034140F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7A784EAB" w14:textId="77777777" w:rsidR="00FE0B0B" w:rsidRPr="0034140F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48E8FD72" w14:textId="77777777" w:rsidR="00FE0B0B" w:rsidRPr="0034140F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D4FD27C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Protože Evropská unie (EU) ratifikovala </w:t>
      </w:r>
      <w:r>
        <w:rPr>
          <w:rFonts w:ascii="Cambria" w:hAnsi="Cambria"/>
          <w:b/>
          <w:bCs/>
          <w:sz w:val="24"/>
          <w:szCs w:val="24"/>
        </w:rPr>
        <w:t>Úmluvu Organizace spojených národů (OSN) o právech lidí s postižením (CRPD)</w:t>
      </w:r>
      <w:r>
        <w:rPr>
          <w:rFonts w:ascii="Cambria" w:hAnsi="Cambria"/>
          <w:sz w:val="24"/>
          <w:szCs w:val="24"/>
        </w:rPr>
        <w:t xml:space="preserve"> a přistoupila k ní v prosinci 2010, Evropská unie nese odpovědnost za zajištění respektování všech práv zakotvených v této úmluvě, a za rozšíření svých kompetencí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1"/>
      </w:r>
      <w:r>
        <w:rPr>
          <w:rFonts w:ascii="Cambria" w:hAnsi="Cambria"/>
          <w:sz w:val="24"/>
          <w:szCs w:val="24"/>
        </w:rPr>
        <w:t xml:space="preserve"> a oblastí pro uplatnění této politiky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2"/>
      </w:r>
      <w:r>
        <w:rPr>
          <w:rFonts w:ascii="Cambria" w:hAnsi="Cambria"/>
          <w:sz w:val="24"/>
          <w:szCs w:val="24"/>
        </w:rPr>
        <w:t xml:space="preserve">.  </w:t>
      </w:r>
    </w:p>
    <w:p w14:paraId="6A4AB13E" w14:textId="77777777" w:rsidR="00FE0B0B" w:rsidRPr="001242C0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4E7E7B54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Spravedlnost a základní práva jsou jednou z oblastí uplatnění politiky EU. </w:t>
      </w:r>
      <w:r>
        <w:rPr>
          <w:rStyle w:val="Strong"/>
          <w:rFonts w:ascii="Cambria" w:hAnsi="Cambria"/>
          <w:sz w:val="24"/>
          <w:szCs w:val="24"/>
        </w:rPr>
        <w:t>Listina základních práv Evropské unie</w:t>
      </w:r>
      <w:r>
        <w:rPr>
          <w:rFonts w:ascii="Cambria" w:hAnsi="Cambria"/>
          <w:sz w:val="24"/>
          <w:szCs w:val="24"/>
        </w:rPr>
        <w:t xml:space="preserve"> spojuje všechna osobní, občanská, politická, ekonomická a sociální práva, která mají lidé v EU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3"/>
      </w:r>
      <w:r>
        <w:rPr>
          <w:rFonts w:ascii="Cambria" w:hAnsi="Cambria"/>
          <w:sz w:val="24"/>
          <w:szCs w:val="24"/>
        </w:rPr>
        <w:t xml:space="preserve">. </w:t>
      </w:r>
    </w:p>
    <w:p w14:paraId="654E1D41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0C53B5B" w14:textId="21631ABC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Článek 26 Úmluvy EU zejména uvádí, že:</w:t>
      </w:r>
    </w:p>
    <w:p w14:paraId="2982C563" w14:textId="77777777" w:rsidR="00FE0B0B" w:rsidRPr="00FE0B0B" w:rsidRDefault="00FE0B0B" w:rsidP="00FE0B0B">
      <w:pPr>
        <w:ind w:left="72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„Unie uznává a respektuje práva osob s postižením na užívání výhod z opatření navržených za účelem zajištění jejich nezávislosti, sociální a profesní integrace a účasti na životě společenství.”</w:t>
      </w:r>
      <w:r w:rsidRPr="00FE0B0B">
        <w:rPr>
          <w:rStyle w:val="FootnoteReference"/>
          <w:rFonts w:ascii="Cambria" w:hAnsi="Cambria"/>
          <w:i/>
          <w:iCs/>
          <w:sz w:val="24"/>
          <w:szCs w:val="24"/>
          <w:lang w:val="en-US"/>
        </w:rPr>
        <w:footnoteReference w:id="4"/>
      </w:r>
    </w:p>
    <w:p w14:paraId="18DB2AB4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B020229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Pokud, jak je to uvedeno na webové stránce EU, „Listina nezavede obecnou pravomoc Evropské komise za účelem zasahování v oblasti základních práv. Může zasahovat pouze tehdy, pokud se to týká zákona EU (například, když je přijata legislativa EU nebo</w:t>
      </w:r>
      <w:r>
        <w:rPr>
          <w:rFonts w:ascii="Cambria" w:hAnsi="Cambria"/>
          <w:b/>
          <w:bCs/>
          <w:sz w:val="24"/>
          <w:szCs w:val="24"/>
        </w:rPr>
        <w:t xml:space="preserve"> pokud nějaké národní opatření uplatňuje zákon EU způsobem neslučitelným s touto úmluvou</w:t>
      </w:r>
      <w:r>
        <w:rPr>
          <w:rFonts w:ascii="Cambria" w:hAnsi="Cambria"/>
          <w:sz w:val="24"/>
          <w:szCs w:val="24"/>
        </w:rPr>
        <w:t>)”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5"/>
      </w:r>
      <w:r>
        <w:rPr>
          <w:rFonts w:ascii="Cambria" w:hAnsi="Cambria"/>
          <w:sz w:val="24"/>
          <w:szCs w:val="24"/>
        </w:rPr>
        <w:t xml:space="preserve">. </w:t>
      </w:r>
    </w:p>
    <w:p w14:paraId="0719BB06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128820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Protože v současné době procházíme epidemií a krizí ve zdravotnictví, chtěli bychom se konkrétněji zaměřit – přestože všechny články této úmluvy CRPD mají s ohledem na tuto </w:t>
      </w:r>
      <w:r>
        <w:rPr>
          <w:rFonts w:ascii="Cambria" w:hAnsi="Cambria"/>
          <w:sz w:val="24"/>
          <w:szCs w:val="24"/>
        </w:rPr>
        <w:lastRenderedPageBreak/>
        <w:t xml:space="preserve">záležitost stejnou důležitost – na článek 11 úmluvy CRPD, který je v tento okamžik zejména důležitý. </w:t>
      </w:r>
    </w:p>
    <w:p w14:paraId="0A11022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Samozřejmě, článek </w:t>
      </w:r>
      <w:r>
        <w:rPr>
          <w:rFonts w:ascii="Cambria" w:hAnsi="Cambria"/>
          <w:b/>
          <w:bCs/>
          <w:sz w:val="24"/>
          <w:szCs w:val="24"/>
        </w:rPr>
        <w:t>11 úmluvy OSN CRPD konkrétně uvádí situace ohrožení a humanitární naléhavé situace:</w:t>
      </w:r>
      <w:r>
        <w:rPr>
          <w:rFonts w:ascii="Cambria" w:hAnsi="Cambria"/>
          <w:sz w:val="24"/>
          <w:szCs w:val="24"/>
        </w:rPr>
        <w:t xml:space="preserve"> </w:t>
      </w:r>
    </w:p>
    <w:p w14:paraId="498C4575" w14:textId="77777777" w:rsidR="00FE0B0B" w:rsidRPr="00FE0B0B" w:rsidRDefault="00FE0B0B" w:rsidP="00FE0B0B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„Účastnické státy musí učinit v souladu s jejich povinnostmi podle mezinárodních zákonů, včetně mezinárodních humanitárních zákonů a mezinárodních zákonů o lidských právech, všechna nezbytná opatření za účelem zajištění ochrany a bezpečnosti osob s postižením za situací ohrožení, včetně situací ozbrojeného konfliktu, humanitárních naléhavých situací a při přírodních katastrofách.”</w:t>
      </w:r>
      <w:r w:rsidRPr="00FE0B0B">
        <w:rPr>
          <w:rStyle w:val="FootnoteReference"/>
          <w:rFonts w:ascii="Cambria" w:hAnsi="Cambria"/>
          <w:i/>
          <w:iCs/>
          <w:lang w:val="en-US"/>
        </w:rPr>
        <w:footnoteReference w:id="6"/>
      </w:r>
    </w:p>
    <w:p w14:paraId="538EAE89" w14:textId="77777777" w:rsidR="009A43AB" w:rsidRPr="005B1039" w:rsidRDefault="009A43AB" w:rsidP="00FE0B0B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44AE8A1B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>Od roku 1988</w:t>
      </w:r>
      <w:r>
        <w:rPr>
          <w:rFonts w:ascii="Cambria" w:hAnsi="Cambria"/>
          <w:b/>
          <w:bCs/>
          <w:sz w:val="24"/>
          <w:szCs w:val="24"/>
        </w:rPr>
        <w:t xml:space="preserve"> Inclusion Europe zastupuje lidi s mentálním postižením a jejich rodiny v Evropě, a bojuje za jejich stejná práva a úplné začlenění do všech oblastí života.</w:t>
      </w:r>
    </w:p>
    <w:p w14:paraId="76F516A1" w14:textId="2320E219" w:rsidR="00FE0B0B" w:rsidRPr="00141CDD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Inclusion Europe v současné době zastupuje 79 členských organizací ve 39 evropských zemích. </w:t>
      </w:r>
    </w:p>
    <w:p w14:paraId="3372231D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 samého počátku naléhavé situace v souvislosti s Covid-19 byla Inclusion Europe aktivní v informování našich členů a poskytování informací ve </w:t>
      </w:r>
      <w:hyperlink r:id="rId10" w:anchor="1584977061628-16fcec00-a699" w:history="1">
        <w:r>
          <w:rPr>
            <w:rStyle w:val="Hyperlink"/>
            <w:rFonts w:ascii="Cambria" w:hAnsi="Cambria"/>
            <w:sz w:val="24"/>
            <w:szCs w:val="24"/>
          </w:rPr>
          <w:t>srozumitelné formě</w:t>
        </w:r>
      </w:hyperlink>
      <w:r>
        <w:rPr>
          <w:rFonts w:ascii="Cambria" w:hAnsi="Cambria"/>
          <w:sz w:val="24"/>
          <w:szCs w:val="24"/>
        </w:rPr>
        <w:t xml:space="preserve"> a </w:t>
      </w:r>
      <w:hyperlink r:id="rId11" w:anchor="1584977115025-1ebd5d7f-b126" w:history="1">
        <w:r>
          <w:rPr>
            <w:rStyle w:val="Hyperlink"/>
            <w:rFonts w:ascii="Cambria" w:hAnsi="Cambria"/>
            <w:sz w:val="24"/>
            <w:szCs w:val="24"/>
          </w:rPr>
          <w:t>shromažďování informací</w:t>
        </w:r>
      </w:hyperlink>
      <w:r>
        <w:rPr>
          <w:rFonts w:ascii="Cambria" w:hAnsi="Cambria"/>
          <w:sz w:val="24"/>
          <w:szCs w:val="24"/>
        </w:rPr>
        <w:t xml:space="preserve"> od našich členů o tom, co se děje v členských zemích. </w:t>
      </w:r>
    </w:p>
    <w:p w14:paraId="3CB9D67E" w14:textId="77777777" w:rsidR="00FE0B0B" w:rsidRPr="005B1039" w:rsidRDefault="00FE0B0B" w:rsidP="00FE0B0B">
      <w:pPr>
        <w:jc w:val="both"/>
        <w:rPr>
          <w:rFonts w:ascii="Cambria" w:hAnsi="Cambria" w:cs="Open Sans"/>
          <w:sz w:val="24"/>
          <w:szCs w:val="24"/>
        </w:rPr>
      </w:pPr>
    </w:p>
    <w:p w14:paraId="40667A23" w14:textId="6C7A8E67" w:rsidR="00FE0B0B" w:rsidRPr="009A43AB" w:rsidRDefault="00FE0B0B" w:rsidP="00FE0B0B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Chtěli bychom Výbor upozornit na několik případů, kdy národní zákony nejsou v souladu buďto s Úmluvou OSN CRPD nebo Listinou základních práv EU, a požádat ho, aby se zaměřil na opatření, která je třeba učinit za účelem ochrany lidí s mentálním postižením a jejich rodin. </w:t>
      </w:r>
    </w:p>
    <w:p w14:paraId="5F22D760" w14:textId="77777777" w:rsidR="00FE0B0B" w:rsidRPr="005B1039" w:rsidRDefault="00FE0B0B" w:rsidP="00FE0B0B">
      <w:pPr>
        <w:jc w:val="both"/>
        <w:rPr>
          <w:rFonts w:ascii="Cambria" w:hAnsi="Cambria" w:cs="Open Sans"/>
          <w:b/>
          <w:bCs/>
          <w:sz w:val="24"/>
          <w:szCs w:val="24"/>
        </w:rPr>
      </w:pPr>
    </w:p>
    <w:p w14:paraId="56AD7516" w14:textId="77777777" w:rsidR="00FE0B0B" w:rsidRPr="005B1039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5771A675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Situaci, kterou pozorujeme v některých zemích: </w:t>
      </w:r>
    </w:p>
    <w:p w14:paraId="3E0BABB3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0C6B9A8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Lidé s mentálním postižením, kteří onemocněli nemocí Covid 19</w:t>
      </w:r>
    </w:p>
    <w:p w14:paraId="42CD54BF" w14:textId="7455C94D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Lidé, kterým není poskytována lékařská péče kvůli jejich stavu, protože jsou příliš „obtížní“; </w:t>
      </w:r>
    </w:p>
    <w:p w14:paraId="5A3900BF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Sdělení: není zde možnost porozumět tomu, co se děje, vysoká míra napětí a úzkosti, a bez možnosti doprovodu osobou, která by mohla vysvětlit, co se děje; </w:t>
      </w:r>
    </w:p>
    <w:p w14:paraId="57DE85AA" w14:textId="69D280E1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Velmi otřesná nařízení nemocnic aplikujících třídění pacientů, která mají velmi jasný cíl, že nebudou pečovat o lidi s postižením, protože mají malou šanci na uzdravení, a jejich životy nejsou v každém případě „stojící za to“</w:t>
      </w:r>
    </w:p>
    <w:p w14:paraId="4BA72582" w14:textId="5028474C" w:rsid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Přístup ke zdravotní péči, kterou měli lidé denně před krizí</w:t>
      </w:r>
    </w:p>
    <w:p w14:paraId="78636765" w14:textId="56F7B2D9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Lidé jsou ponecháni bez podpory, jak Mezinárodní aliance zdravotně postižených uvedla, „lidé s postižením neumírají jenom kvůli koronaviru, umírají také kvůli nedostatku služeb následkem nedostatku sociálně-ekonomické podpory“. </w:t>
      </w:r>
    </w:p>
    <w:p w14:paraId="0EBAA247" w14:textId="5571FE54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Děti bez vzdělávání, protože školy s nimi nemohou komunikovat, a rodiny jsou odkázány samy na sebe, aby se samy se vším vypořádaly, od zajištění jídla po vzdělávání</w:t>
      </w:r>
    </w:p>
    <w:p w14:paraId="28F03744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Protože situace ve vzdělávání napříč celou Evropou byla před krizí stěží začleňující, a vzdělávání bylo velmi segregované.... situace v Evropě je v </w:t>
      </w:r>
      <w:r>
        <w:rPr>
          <w:rFonts w:ascii="Cambria" w:hAnsi="Cambria"/>
          <w:sz w:val="24"/>
          <w:szCs w:val="24"/>
        </w:rPr>
        <w:lastRenderedPageBreak/>
        <w:t xml:space="preserve">době krize katastrofická.  Děti nemají žádné asistenty, protože tito asistenti nejsou považování v mnoha zemích EU za „nepostradatelná zaměstnání“. </w:t>
      </w:r>
    </w:p>
    <w:p w14:paraId="2284EB65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Neschopnost spojit se s příbuznými a přáteli, a mít normální lidskou konverzaci?</w:t>
      </w:r>
    </w:p>
    <w:p w14:paraId="6047444D" w14:textId="57570C77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Lidé v tak zvaných „pečovatelských domovech“/institucích jsou v izolaci. To znamená, že rodiny je nemohou navštívit, a tyto osoby jsou doopravdy vystaveny vysokému riziku nákazy, protože, jak již bylo mnohokrát řečeno, v těchto institucích nemají žádné ochranné prostředky. </w:t>
      </w:r>
    </w:p>
    <w:p w14:paraId="418604C7" w14:textId="09E02BC4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Tato situace ve skutečnosti vnáší světlo do institucí rozsáhlé „péče“ o tom, jaké vlastně jsou: tlakové hrnce rizik a problémů, nikoliv „bezpečná místa“, jak se samy nazývají.</w:t>
      </w:r>
      <w:r>
        <w:rPr>
          <w:rStyle w:val="FootnoteReference"/>
          <w:rFonts w:ascii="Cambria" w:hAnsi="Cambria"/>
          <w:sz w:val="24"/>
          <w:szCs w:val="24"/>
        </w:rPr>
        <w:t xml:space="preserve"> 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7"/>
      </w:r>
    </w:p>
    <w:p w14:paraId="29142A2C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5A2988E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Docházíme k závěru, že tato situace je </w:t>
      </w:r>
      <w:r>
        <w:rPr>
          <w:rFonts w:ascii="Cambria" w:hAnsi="Cambria"/>
          <w:b/>
          <w:bCs/>
          <w:sz w:val="24"/>
          <w:szCs w:val="24"/>
        </w:rPr>
        <w:t>plná paradoxů</w:t>
      </w:r>
      <w:r>
        <w:rPr>
          <w:rFonts w:ascii="Cambria" w:hAnsi="Cambria"/>
          <w:sz w:val="24"/>
          <w:szCs w:val="24"/>
        </w:rPr>
        <w:t xml:space="preserve"> mezi lidmi v institucích, kteří by se chtěli vrátit zpátky ke svým rodinám, ale je jim to zakázáno, a těmi, kteří „uvízli“ se svými rodinami, když by ze všeho nejvíce chtěli být nezávislí! </w:t>
      </w:r>
    </w:p>
    <w:p w14:paraId="49C32666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5EA4F457" w14:textId="50DCE14B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Koronavirus a izolování upozorňují na </w:t>
      </w:r>
      <w:r>
        <w:rPr>
          <w:rFonts w:ascii="Cambria" w:hAnsi="Cambria"/>
          <w:b/>
          <w:bCs/>
          <w:sz w:val="24"/>
          <w:szCs w:val="24"/>
        </w:rPr>
        <w:t>přetrvávající segregaci a diskriminaci</w:t>
      </w:r>
      <w:r>
        <w:rPr>
          <w:rFonts w:ascii="Cambria" w:hAnsi="Cambria"/>
          <w:sz w:val="24"/>
          <w:szCs w:val="24"/>
        </w:rPr>
        <w:t xml:space="preserve"> lidí s mentálním postižením, zejména s ohledem na přístup ke zdravotní péči.</w:t>
      </w:r>
    </w:p>
    <w:p w14:paraId="793E8CE9" w14:textId="700B7155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Naléhavá situace související s koronavirem opravdu zhoršuje tyto vlastnosti každodenního života pro miliony lidí v celé Evropě.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8"/>
      </w:r>
    </w:p>
    <w:p w14:paraId="6FB0C8A4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C0E4179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79F2AF92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Konkrétní opatření, která by EU mohla učinit na ochranu lidí s mentálním postižením</w:t>
      </w:r>
    </w:p>
    <w:p w14:paraId="6E46748A" w14:textId="77777777" w:rsidR="00FE0B0B" w:rsidRPr="005B1039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DC7C5A5" w14:textId="0E6F1A77" w:rsidR="00FE0B0B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Pokud jde o okamžitou reakci na zdravotní stav, zajistěte, že je v souladu jak s Listinou EU, tak s Úmluvou CRPD, a mějte na vědomí, že všechny životy jsou si rovny, a žádná jiná třetí osoba nemůže soudit, zda život nějaké osoby za to stojí, či nikoliv. </w:t>
      </w:r>
    </w:p>
    <w:p w14:paraId="70E0B8A2" w14:textId="77777777" w:rsidR="00FE0B0B" w:rsidRPr="005B1039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</w:p>
    <w:p w14:paraId="1FF1BFC1" w14:textId="42B9170E" w:rsidR="00FE0B0B" w:rsidRPr="00FE0B0B" w:rsidRDefault="009A43AB" w:rsidP="003712C2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„Když přidáme realistické vyhlídky opuštění koronavirové izolace, lidé s mentálním postižením nepocítí žádnou úlevu, znamená to pouze symbolický začátek dlouhé doby újmy a utrpení, a to mimo pozornost médií.</w:t>
      </w:r>
    </w:p>
    <w:p w14:paraId="76D2A78A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když se věci vrací zpátky do normálu před pandemií, lidé s postižením zůstávají nadále segregováni od jejich společenství a škol; rodiny musí zajišťovat většinu péče a podpory, a musí bojovat za každý coul pokroku a uznání; stále to znamená, že lidé s mentálním postižením nedostávají řádnou zdravotní péči. </w:t>
      </w:r>
    </w:p>
    <w:p w14:paraId="0A7252E5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 nemile to zní, stále by to bylo lepší než to, čeho se musíme nejvíce obávat: finanční nepříjemné důsledky a redukce služeb. </w:t>
      </w:r>
    </w:p>
    <w:p w14:paraId="5EE2D51C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Byli jsme svědky osudného vlivu finanční krize v roce 2009 - uzavřené služby, radikálně zredukovaná péče o postižené a sociální výhody, masivní nezaměstnanost, a nakonec si to vybralo svoji daň na tělesné i duševní pohodě a životech lidí.</w:t>
      </w:r>
    </w:p>
    <w:p w14:paraId="3F167CAC" w14:textId="0D5F7C2D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[Proto tedy je zásadně důležité pro zabránění této tragédii, aby] národní úřady a úřady EU zajistily, že miliardy ekonomických injekcí po koronavirové pandemii jsou směřovány v první řadě k lidem s postižením a jiným „ohroženým“ skupinám. </w:t>
      </w:r>
    </w:p>
    <w:p w14:paraId="5CB9A2BB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Situace není doposud povzbudivá, a komunikace je zaměřena na podniky a zaměstnance ohledně využívání peněz z fondů soudržnosti EU za účelem financování jakýchkoliv potřebných koronavirových opatření. </w:t>
      </w:r>
    </w:p>
    <w:p w14:paraId="58A4CE60" w14:textId="0CB242EB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Podnikání a zaměstnanost jsou důležité, ale není to všechno. Peníze získané nyní z fondů soudržnosti budou později chybět. Ekonomika skapávání nefunguje, jak mnozí oprávněně poznamenávají ze zkušeností ze zahraničí.</w:t>
      </w:r>
    </w:p>
    <w:p w14:paraId="458E2F09" w14:textId="683EEAA7" w:rsidR="009A43AB" w:rsidRPr="00E55382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7AAF5744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Potřeba jsou </w:t>
      </w:r>
      <w:r>
        <w:rPr>
          <w:rFonts w:ascii="Cambria" w:hAnsi="Cambria"/>
          <w:b/>
          <w:bCs/>
          <w:sz w:val="24"/>
          <w:szCs w:val="24"/>
        </w:rPr>
        <w:t>služby pro osoby s postižením, které je vrátí do jejich normálního života, což je prioritou, a mezi prvním je uvolnit z jejich „izolace“.</w:t>
      </w:r>
      <w:r>
        <w:rPr>
          <w:rFonts w:ascii="Cambria" w:hAnsi="Cambria"/>
          <w:sz w:val="24"/>
          <w:szCs w:val="24"/>
        </w:rPr>
        <w:t xml:space="preserve"> </w:t>
      </w:r>
    </w:p>
    <w:p w14:paraId="0D33EF23" w14:textId="2185C784" w:rsidR="009A43AB" w:rsidRPr="009A43AB" w:rsidRDefault="009A43AB" w:rsidP="003712C2">
      <w:pPr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Potřeba jsou </w:t>
      </w:r>
      <w:r>
        <w:rPr>
          <w:rFonts w:ascii="Cambria" w:hAnsi="Cambria"/>
          <w:b/>
          <w:bCs/>
          <w:sz w:val="24"/>
          <w:szCs w:val="24"/>
        </w:rPr>
        <w:t>finanční opatření po koronavirové situaci, nejenom dostupná, ale začínající u lidí s mentálním postižením a jejich rodin</w:t>
      </w:r>
      <w:r>
        <w:rPr>
          <w:rFonts w:ascii="Cambria" w:hAnsi="Cambria"/>
          <w:sz w:val="24"/>
          <w:szCs w:val="24"/>
        </w:rPr>
        <w:t>.“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9"/>
      </w:r>
    </w:p>
    <w:p w14:paraId="4ACFD956" w14:textId="77777777" w:rsidR="00E60F7B" w:rsidRPr="00FE0B0B" w:rsidRDefault="00E60F7B">
      <w:pPr>
        <w:rPr>
          <w:rFonts w:ascii="Cambria" w:hAnsi="Cambria"/>
          <w:sz w:val="24"/>
          <w:szCs w:val="24"/>
        </w:rPr>
      </w:pPr>
    </w:p>
    <w:sectPr w:rsidR="00E60F7B" w:rsidRPr="00FE0B0B" w:rsidSect="005B10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A28F" w14:textId="77777777" w:rsidR="00714865" w:rsidRDefault="00714865" w:rsidP="00FE0B0B">
      <w:r>
        <w:separator/>
      </w:r>
    </w:p>
  </w:endnote>
  <w:endnote w:type="continuationSeparator" w:id="0">
    <w:p w14:paraId="27A3EAE1" w14:textId="77777777" w:rsidR="00714865" w:rsidRDefault="00714865" w:rsidP="00F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433A" w14:textId="77777777" w:rsidR="001242C0" w:rsidRDefault="0012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11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FC084" w14:textId="51816C24" w:rsidR="003712C2" w:rsidRDefault="0037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907D4" w14:textId="77777777" w:rsidR="003712C2" w:rsidRDefault="0037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C339" w14:textId="77777777" w:rsidR="00FB4E3F" w:rsidRPr="008E0893" w:rsidRDefault="00FB4E3F" w:rsidP="00FB4E3F">
    <w:pPr>
      <w:spacing w:before="60"/>
      <w:jc w:val="center"/>
      <w:rPr>
        <w:rFonts w:ascii="Open Sans" w:hAnsi="Open Sans" w:cs="Open Sans"/>
        <w:noProof/>
        <w:sz w:val="14"/>
        <w:szCs w:val="14"/>
        <w:lang w:val="fr-BE"/>
      </w:rPr>
    </w:pPr>
  </w:p>
  <w:p w14:paraId="62270B09" w14:textId="77777777" w:rsidR="001242C0" w:rsidRDefault="001242C0" w:rsidP="00FB4E3F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7F5E3AF1" w14:textId="32FAFF75" w:rsidR="00FB4E3F" w:rsidRPr="009611F4" w:rsidRDefault="00FB4E3F" w:rsidP="00FB4E3F">
    <w:pPr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B910373" wp14:editId="053E58D4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1F4">
      <w:rPr>
        <w:rFonts w:ascii="Open Sans" w:hAnsi="Open Sans" w:cs="Open Sans"/>
        <w:b/>
        <w:noProof/>
        <w:sz w:val="16"/>
        <w:szCs w:val="16"/>
        <w:lang w:val="en-GB"/>
      </w:rPr>
      <w:t>Inclusion Europe</w:t>
    </w:r>
    <w:r w:rsidRPr="009611F4"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</w:p>
  <w:p w14:paraId="5D083C90" w14:textId="77777777" w:rsidR="00FB4E3F" w:rsidRPr="004E3EB9" w:rsidRDefault="00FB4E3F" w:rsidP="00FB4E3F">
    <w:pPr>
      <w:tabs>
        <w:tab w:val="right" w:pos="8647"/>
      </w:tabs>
      <w:spacing w:before="60"/>
      <w:rPr>
        <w:rFonts w:ascii="Open Sans" w:hAnsi="Open Sans" w:cs="Open Sans"/>
        <w:noProof/>
        <w:sz w:val="6"/>
        <w:szCs w:val="16"/>
        <w:lang w:val="en-GB"/>
      </w:rPr>
    </w:pPr>
    <w:r w:rsidRPr="00682797">
      <w:rPr>
        <w:rFonts w:ascii="Open Sans" w:hAnsi="Open Sans" w:cs="Open Sans"/>
        <w:noProof/>
        <w:sz w:val="14"/>
        <w:szCs w:val="14"/>
        <w:lang w:val="en-GB"/>
      </w:rPr>
      <w:t>Avenue des Arts 3, 1210</w:t>
    </w:r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Brussels, Belgium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 w:rsidRPr="008E0893">
      <w:rPr>
        <w:rFonts w:ascii="Open Sans" w:hAnsi="Open Sans" w:cs="Open Sans"/>
        <w:noProof/>
        <w:sz w:val="14"/>
        <w:szCs w:val="14"/>
        <w:lang w:val="en-GB"/>
      </w:rPr>
      <w:br/>
    </w:r>
  </w:p>
  <w:p w14:paraId="20085AD3" w14:textId="687C7612" w:rsidR="00FB4E3F" w:rsidRPr="008E0893" w:rsidRDefault="001C5BE6" w:rsidP="00FB4E3F">
    <w:pPr>
      <w:tabs>
        <w:tab w:val="left" w:pos="284"/>
        <w:tab w:val="left" w:pos="2552"/>
        <w:tab w:val="left" w:pos="4678"/>
        <w:tab w:val="right" w:pos="8647"/>
      </w:tabs>
      <w:spacing w:before="60"/>
      <w:rPr>
        <w:rFonts w:ascii="Open Sans" w:hAnsi="Open Sans" w:cs="Open Sans"/>
        <w:noProof/>
        <w:sz w:val="14"/>
        <w:szCs w:val="14"/>
        <w:lang w:val="en-GB"/>
      </w:rPr>
    </w:pP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39A0CC36" wp14:editId="4AA96259">
          <wp:simplePos x="0" y="0"/>
          <wp:positionH relativeFrom="page">
            <wp:posOffset>3740785</wp:posOffset>
          </wp:positionH>
          <wp:positionV relativeFrom="paragraph">
            <wp:posOffset>26035</wp:posOffset>
          </wp:positionV>
          <wp:extent cx="97155" cy="97155"/>
          <wp:effectExtent l="0" t="0" r="0" b="0"/>
          <wp:wrapNone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3360" behindDoc="0" locked="0" layoutInCell="1" allowOverlap="1" wp14:anchorId="43E26ED8" wp14:editId="12506D8E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1312" behindDoc="0" locked="0" layoutInCell="1" allowOverlap="1" wp14:anchorId="34625573" wp14:editId="3B74E1B6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="00FB4E3F" w:rsidRPr="008E0893">
        <w:rPr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 w:rsidR="00FB4E3F">
      <w:rPr>
        <w:rFonts w:ascii="Open Sans" w:hAnsi="Open Sans" w:cs="Open Sans"/>
        <w:noProof/>
        <w:sz w:val="14"/>
        <w:szCs w:val="14"/>
        <w:lang w:val="en-GB"/>
      </w:rPr>
      <w:tab/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 w:rsidR="00FB4E3F">
      <w:rPr>
        <w:rFonts w:ascii="Open Sans" w:hAnsi="Open Sans" w:cs="Open Sans"/>
        <w:noProof/>
        <w:sz w:val="14"/>
        <w:szCs w:val="14"/>
        <w:lang w:val="en-GB"/>
      </w:rPr>
      <w:tab/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tab/>
    </w:r>
    <w:r w:rsidR="00FB4E3F">
      <w:rPr>
        <w:rFonts w:ascii="Open Sans" w:hAnsi="Open Sans" w:cs="Open Sans"/>
        <w:noProof/>
        <w:sz w:val="14"/>
        <w:szCs w:val="14"/>
        <w:lang w:val="en-GB"/>
      </w:rPr>
      <w:t>y</w:t>
    </w:r>
    <w:r w:rsidR="00FB4E3F" w:rsidRPr="008E0893">
      <w:rPr>
        <w:rFonts w:ascii="Open Sans" w:hAnsi="Open Sans" w:cs="Open Sans"/>
        <w:noProof/>
        <w:sz w:val="14"/>
        <w:szCs w:val="14"/>
        <w:lang w:val="en-GB"/>
      </w:rPr>
      <w:t>outube.com/InclusionEurope</w:t>
    </w:r>
  </w:p>
  <w:p w14:paraId="6AF8168E" w14:textId="77777777" w:rsidR="0034140F" w:rsidRPr="00FB4E3F" w:rsidRDefault="0034140F" w:rsidP="00FB4E3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885D" w14:textId="77777777" w:rsidR="00714865" w:rsidRDefault="00714865" w:rsidP="00FE0B0B">
      <w:r>
        <w:separator/>
      </w:r>
    </w:p>
  </w:footnote>
  <w:footnote w:type="continuationSeparator" w:id="0">
    <w:p w14:paraId="3B228B2E" w14:textId="77777777" w:rsidR="00714865" w:rsidRDefault="00714865" w:rsidP="00FE0B0B">
      <w:r>
        <w:continuationSeparator/>
      </w:r>
    </w:p>
  </w:footnote>
  <w:footnote w:id="1">
    <w:p w14:paraId="3491C3D3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Rozhodnutí Rady č. 2010/48/ ES </w:t>
      </w:r>
      <w:hyperlink r:id="rId1" w:history="1">
        <w:r>
          <w:rPr>
            <w:rStyle w:val="Hyperlink"/>
          </w:rPr>
          <w:t>https://eur-lex.europa.eu/legal-content/EN/TXT/?uri=uriserv:OJ.L_.2010.023.01.0035.01.ENG</w:t>
        </w:r>
      </w:hyperlink>
      <w:r>
        <w:t xml:space="preserve"> a Kodex chování 2010/C 340/08 </w:t>
      </w:r>
      <w:hyperlink r:id="rId2" w:history="1">
        <w:r>
          <w:rPr>
            <w:rStyle w:val="Hyperlink"/>
          </w:rPr>
          <w:t>https://eur-lex.europa.eu/LexUriServ/LexUriServ.do?uri=OJ:C:2010:340:0011:0015:EN:PDF</w:t>
        </w:r>
      </w:hyperlink>
      <w:r>
        <w:t xml:space="preserve"> </w:t>
      </w:r>
    </w:p>
  </w:footnote>
  <w:footnote w:id="2">
    <w:p w14:paraId="57124A18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Evropská unie ratifikovala tuto úmluvu. Co to znamená, An-Sofie Leenknecht, Evropské fórum lidí s postižením </w:t>
      </w:r>
      <w:hyperlink r:id="rId3" w:history="1">
        <w:r>
          <w:rPr>
            <w:rStyle w:val="Hyperlink"/>
          </w:rPr>
          <w:t>http://www.edf-feph.org/eu-has-ratified-convention-what-does-mean</w:t>
        </w:r>
      </w:hyperlink>
      <w:r>
        <w:t xml:space="preserve"> </w:t>
      </w:r>
    </w:p>
  </w:footnote>
  <w:footnote w:id="3">
    <w:p w14:paraId="73B16FC1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Spravedlnost a základní práva, webová stránka Evropské komise </w:t>
      </w:r>
      <w:hyperlink r:id="rId4" w:history="1">
        <w:r>
          <w:rPr>
            <w:rStyle w:val="Hyperlink"/>
          </w:rPr>
          <w:t>https://ec.europa.eu/info/topics/justice-and-fundamental-rights_en</w:t>
        </w:r>
      </w:hyperlink>
      <w:r>
        <w:t xml:space="preserve"> </w:t>
      </w:r>
    </w:p>
  </w:footnote>
  <w:footnote w:id="4">
    <w:p w14:paraId="791934AC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Úmluva EU, článek 26</w:t>
      </w:r>
    </w:p>
  </w:footnote>
  <w:footnote w:id="5">
    <w:p w14:paraId="5706AA89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Začlenění základních práv do legislativního procesu EU, webová stránka Evropské komise </w:t>
      </w:r>
      <w:hyperlink r:id="rId5" w:anchor="strategy" w:history="1">
        <w:r>
          <w:rPr>
            <w:rStyle w:val="Hyperlink"/>
          </w:rPr>
          <w:t>https://ec.europa.eu/info/aid-development-cooperation-fundamental-rights/your-rights-eu/eu-charter-fundamental-rights/application-charter/incorporating-fundamental-rights-eu-legislative-process_en#strategy</w:t>
        </w:r>
      </w:hyperlink>
      <w:r>
        <w:t xml:space="preserve"> </w:t>
      </w:r>
    </w:p>
  </w:footnote>
  <w:footnote w:id="6">
    <w:p w14:paraId="35C933F2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Úmluva OSN CRPD, článek 11</w:t>
      </w:r>
    </w:p>
  </w:footnote>
  <w:footnote w:id="7">
    <w:p w14:paraId="631A7AA6" w14:textId="396D97CA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Kritická situace evropských postižených v době koronaviru, Milan Šveřepa, pozorovatel EU, 21. duben, 2020 </w:t>
      </w:r>
      <w:hyperlink r:id="rId6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8">
    <w:p w14:paraId="02DA8D28" w14:textId="77777777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Kritická situace evropských postižených v době koronaviru, Milan Šveřepa, pozorovatel EU, 21. duben, 2020 </w:t>
      </w:r>
      <w:hyperlink r:id="rId7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9">
    <w:p w14:paraId="5ACF83A5" w14:textId="77777777" w:rsidR="009A43AB" w:rsidRPr="001839F8" w:rsidRDefault="009A43AB" w:rsidP="009A43AB">
      <w:pPr>
        <w:pStyle w:val="FootnoteText"/>
      </w:pPr>
      <w:r>
        <w:rPr>
          <w:rStyle w:val="FootnoteReference"/>
        </w:rPr>
        <w:footnoteRef/>
      </w:r>
      <w:r>
        <w:t xml:space="preserve"> Kritická situace evropských postižených v době koronaviru, Milan Šveřepa, pozorovatel EU, 21. duben, 2020 </w:t>
      </w:r>
      <w:hyperlink r:id="rId8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2E4D" w14:textId="77777777" w:rsidR="001242C0" w:rsidRDefault="0012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653B" w14:textId="77777777" w:rsidR="001242C0" w:rsidRDefault="0012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45491" w14:textId="77777777" w:rsidR="0034140F" w:rsidRDefault="0034140F" w:rsidP="0034140F">
    <w:pPr>
      <w:tabs>
        <w:tab w:val="left" w:pos="2977"/>
        <w:tab w:val="center" w:pos="4513"/>
        <w:tab w:val="right" w:pos="9026"/>
      </w:tabs>
      <w:ind w:left="708"/>
      <w:jc w:val="right"/>
      <w:rPr>
        <w:rFonts w:ascii="Open Sans" w:hAnsi="Open Sans" w:cstheme="minorBidi"/>
        <w:b/>
        <w:noProof/>
        <w:color w:val="ED0F69"/>
        <w:sz w:val="20"/>
        <w:lang w:val="pt-PT" w:eastAsia="pt-PT"/>
      </w:rPr>
    </w:pPr>
    <w:r w:rsidRPr="00DF505B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CE248AD" wp14:editId="10F48F59">
          <wp:simplePos x="0" y="0"/>
          <wp:positionH relativeFrom="margin">
            <wp:posOffset>-18415</wp:posOffset>
          </wp:positionH>
          <wp:positionV relativeFrom="paragraph">
            <wp:posOffset>-370205</wp:posOffset>
          </wp:positionV>
          <wp:extent cx="2145600" cy="1202400"/>
          <wp:effectExtent l="0" t="0" r="7620" b="0"/>
          <wp:wrapTight wrapText="bothSides">
            <wp:wrapPolygon edited="0">
              <wp:start x="0" y="0"/>
              <wp:lineTo x="0" y="21223"/>
              <wp:lineTo x="21485" y="21223"/>
              <wp:lineTo x="214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D2A45" w14:textId="77777777" w:rsidR="0034140F" w:rsidRPr="00862D51" w:rsidRDefault="0034140F" w:rsidP="0034140F">
    <w:pPr>
      <w:tabs>
        <w:tab w:val="left" w:pos="2977"/>
      </w:tabs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ascii="Open Sans" w:hAnsi="Open Sans"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862D51">
      <w:rPr>
        <w:rFonts w:ascii="Open Sans" w:hAnsi="Open Sans"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 w:rsidRPr="00862D51"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501B92F9" w14:textId="77777777" w:rsidR="0034140F" w:rsidRDefault="0034140F" w:rsidP="0034140F">
    <w:pPr>
      <w:tabs>
        <w:tab w:val="center" w:pos="4513"/>
        <w:tab w:val="right" w:pos="9026"/>
      </w:tabs>
      <w:rPr>
        <w:rFonts w:cstheme="minorHAnsi"/>
        <w:sz w:val="20"/>
        <w:lang w:val="en-GB"/>
      </w:rPr>
    </w:pPr>
  </w:p>
  <w:p w14:paraId="42A66717" w14:textId="77777777" w:rsidR="005B1039" w:rsidRPr="0034140F" w:rsidRDefault="005B1039" w:rsidP="00341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6111"/>
    <w:multiLevelType w:val="hybridMultilevel"/>
    <w:tmpl w:val="7E90E09C"/>
    <w:lvl w:ilvl="0" w:tplc="54EE9098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0B"/>
    <w:rsid w:val="00061312"/>
    <w:rsid w:val="001242C0"/>
    <w:rsid w:val="00141CDD"/>
    <w:rsid w:val="001C5BE6"/>
    <w:rsid w:val="0034140F"/>
    <w:rsid w:val="003712C2"/>
    <w:rsid w:val="005B1039"/>
    <w:rsid w:val="00714865"/>
    <w:rsid w:val="008A195F"/>
    <w:rsid w:val="009A43AB"/>
    <w:rsid w:val="00E55382"/>
    <w:rsid w:val="00E60F7B"/>
    <w:rsid w:val="00FB4E3F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EC8B"/>
  <w15:chartTrackingRefBased/>
  <w15:docId w15:val="{EE9EE0E4-0B6B-4C09-A80B-39C3A36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0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0B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B0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B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paragraph" w:styleId="ListParagraph">
    <w:name w:val="List Paragraph"/>
    <w:basedOn w:val="Normal"/>
    <w:uiPriority w:val="34"/>
    <w:qFormat/>
    <w:rsid w:val="00FE0B0B"/>
    <w:pPr>
      <w:ind w:left="720"/>
      <w:contextualSpacing/>
    </w:pPr>
  </w:style>
  <w:style w:type="table" w:styleId="TableGrid">
    <w:name w:val="Table Grid"/>
    <w:basedOn w:val="TableNormal"/>
    <w:uiPriority w:val="39"/>
    <w:rsid w:val="00FE0B0B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clusion-europe.eu/coronavirus-pandemic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nclusion-europe.eu/coronavirus-pandemic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observer.com/opinion/148118" TargetMode="External"/><Relationship Id="rId3" Type="http://schemas.openxmlformats.org/officeDocument/2006/relationships/hyperlink" Target="http://www.edf-feph.org/eu-has-ratified-convention-what-does-mean" TargetMode="External"/><Relationship Id="rId7" Type="http://schemas.openxmlformats.org/officeDocument/2006/relationships/hyperlink" Target="https://euobserver.com/opinion/148118" TargetMode="External"/><Relationship Id="rId2" Type="http://schemas.openxmlformats.org/officeDocument/2006/relationships/hyperlink" Target="https://eur-lex.europa.eu/LexUriServ/LexUriServ.do?uri=OJ:C:2010:340:0011:0015:EN:PDF" TargetMode="External"/><Relationship Id="rId1" Type="http://schemas.openxmlformats.org/officeDocument/2006/relationships/hyperlink" Target="https://eur-lex.europa.eu/legal-content/EN/TXT/?uri=uriserv:OJ.L_.2010.023.01.0035.01.ENG" TargetMode="External"/><Relationship Id="rId6" Type="http://schemas.openxmlformats.org/officeDocument/2006/relationships/hyperlink" Target="https://euobserver.com/opinion/148118" TargetMode="External"/><Relationship Id="rId5" Type="http://schemas.openxmlformats.org/officeDocument/2006/relationships/hyperlink" Target="https://ec.europa.eu/info/aid-development-cooperation-fundamental-rights/your-rights-eu/eu-charter-fundamental-rights/application-charter/incorporating-fundamental-rights-eu-legislative-process_en" TargetMode="External"/><Relationship Id="rId4" Type="http://schemas.openxmlformats.org/officeDocument/2006/relationships/hyperlink" Target="https://ec.europa.eu/info/topics/justice-and-fundamental-rights_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BE213-A6BF-49F0-B57A-B8FA3847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2AE81-68FB-4864-AE7B-25F27107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3D9A3-2A9D-4431-9A6A-2E508545717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b106d1f-5234-4220-9f34-74f5cd721b8e"/>
    <ds:schemaRef ds:uri="http://schemas.microsoft.com/office/infopath/2007/PartnerControls"/>
    <ds:schemaRef ds:uri="e64a528b-f3bd-4a9a-86df-61b81d7e82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9</cp:revision>
  <dcterms:created xsi:type="dcterms:W3CDTF">2020-05-07T09:14:00Z</dcterms:created>
  <dcterms:modified xsi:type="dcterms:W3CDTF">2020-06-16T10:35:00Z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