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E8A3" w14:textId="12A7E0DC" w:rsidR="00FE0B0B" w:rsidRPr="00FE0B0B" w:rsidRDefault="00FE0B0B" w:rsidP="00FE0B0B">
      <w:pPr>
        <w:jc w:val="center"/>
        <w:rPr>
          <w:rFonts w:ascii="Cambria" w:hAnsi="Cambria"/>
          <w:b/>
          <w:bCs/>
          <w:sz w:val="32"/>
          <w:szCs w:val="32"/>
        </w:rPr>
      </w:pPr>
      <w:r>
        <w:rPr>
          <w:rFonts w:ascii="Cambria" w:hAnsi="Cambria"/>
          <w:b/>
          <w:bCs/>
          <w:sz w:val="32"/>
          <w:szCs w:val="32"/>
        </w:rPr>
        <w:t xml:space="preserve">Andragende om at forsvare rettighederne for mennesker med intellektuelle handicap og deres familier i disse tider med covid-19-nødsituationen. </w:t>
      </w:r>
    </w:p>
    <w:p w14:paraId="4A0E5F19" w14:textId="77777777" w:rsidR="00FE0B0B" w:rsidRPr="00FE0B0B" w:rsidRDefault="00FE0B0B" w:rsidP="00FE0B0B">
      <w:pPr>
        <w:jc w:val="both"/>
        <w:rPr>
          <w:rFonts w:ascii="Cambria" w:hAnsi="Cambria"/>
          <w:sz w:val="24"/>
          <w:szCs w:val="24"/>
          <w:lang w:val="en-US"/>
        </w:rPr>
      </w:pPr>
    </w:p>
    <w:p w14:paraId="5B5FD106" w14:textId="77777777" w:rsidR="00FE0B0B" w:rsidRPr="00FE0B0B" w:rsidRDefault="00FE0B0B" w:rsidP="00FE0B0B">
      <w:pPr>
        <w:jc w:val="both"/>
        <w:rPr>
          <w:rFonts w:ascii="Cambria" w:hAnsi="Cambria"/>
          <w:sz w:val="24"/>
          <w:szCs w:val="24"/>
          <w:lang w:val="en-US"/>
        </w:rPr>
      </w:pPr>
    </w:p>
    <w:p w14:paraId="7A784EAB" w14:textId="77777777" w:rsidR="00FE0B0B" w:rsidRPr="00FE0B0B" w:rsidRDefault="00FE0B0B" w:rsidP="00FE0B0B">
      <w:pPr>
        <w:jc w:val="both"/>
        <w:rPr>
          <w:rFonts w:ascii="Cambria" w:hAnsi="Cambria"/>
          <w:sz w:val="24"/>
          <w:szCs w:val="24"/>
          <w:lang w:val="en-US"/>
        </w:rPr>
      </w:pPr>
    </w:p>
    <w:p w14:paraId="48E8FD72" w14:textId="77777777" w:rsidR="00FE0B0B" w:rsidRPr="00FE0B0B" w:rsidRDefault="00FE0B0B" w:rsidP="00FE0B0B">
      <w:pPr>
        <w:jc w:val="both"/>
        <w:rPr>
          <w:rFonts w:ascii="Cambria" w:hAnsi="Cambria"/>
          <w:sz w:val="24"/>
          <w:szCs w:val="24"/>
          <w:lang w:val="en-US"/>
        </w:rPr>
      </w:pPr>
    </w:p>
    <w:p w14:paraId="2D4FD27C" w14:textId="77777777" w:rsidR="00FE0B0B" w:rsidRPr="00FE0B0B" w:rsidRDefault="00FE0B0B" w:rsidP="00FE0B0B">
      <w:pPr>
        <w:jc w:val="both"/>
        <w:rPr>
          <w:rFonts w:ascii="Cambria" w:hAnsi="Cambria"/>
          <w:sz w:val="24"/>
          <w:szCs w:val="24"/>
        </w:rPr>
      </w:pPr>
      <w:r>
        <w:rPr>
          <w:rFonts w:ascii="Cambria" w:hAnsi="Cambria"/>
          <w:sz w:val="24"/>
          <w:szCs w:val="24"/>
        </w:rPr>
        <w:t xml:space="preserve">Da Den Europæiske Union (EU) har ratificeret </w:t>
      </w:r>
      <w:r>
        <w:rPr>
          <w:rFonts w:ascii="Cambria" w:hAnsi="Cambria"/>
          <w:b/>
          <w:bCs/>
          <w:sz w:val="24"/>
          <w:szCs w:val="24"/>
        </w:rPr>
        <w:t>FN's konvention om rettigheder for personer med handicap (CRPD)</w:t>
      </w:r>
      <w:r>
        <w:rPr>
          <w:rFonts w:ascii="Cambria" w:hAnsi="Cambria"/>
          <w:sz w:val="24"/>
          <w:szCs w:val="24"/>
        </w:rPr>
        <w:t xml:space="preserve"> og tiltrådt den i december 2010, har EU ansvaret for at sikre respekten for samtlige de rettigheder, der er nedfældet i konventionen, inden for Unionens kompetencer</w:t>
      </w:r>
      <w:r w:rsidRPr="00FE0B0B">
        <w:rPr>
          <w:rStyle w:val="FootnoteReference"/>
          <w:rFonts w:ascii="Cambria" w:hAnsi="Cambria"/>
          <w:sz w:val="24"/>
          <w:szCs w:val="24"/>
          <w:lang w:val="en-US"/>
        </w:rPr>
        <w:footnoteReference w:id="1"/>
      </w:r>
      <w:r>
        <w:rPr>
          <w:rFonts w:ascii="Cambria" w:hAnsi="Cambria"/>
          <w:sz w:val="24"/>
          <w:szCs w:val="24"/>
        </w:rPr>
        <w:t xml:space="preserve"> og dens politikområder</w:t>
      </w:r>
      <w:r w:rsidRPr="00FE0B0B">
        <w:rPr>
          <w:rStyle w:val="FootnoteReference"/>
          <w:rFonts w:ascii="Cambria" w:hAnsi="Cambria"/>
          <w:sz w:val="24"/>
          <w:szCs w:val="24"/>
          <w:lang w:val="en-US"/>
        </w:rPr>
        <w:footnoteReference w:id="2"/>
      </w:r>
      <w:r>
        <w:rPr>
          <w:rFonts w:ascii="Cambria" w:hAnsi="Cambria"/>
          <w:sz w:val="24"/>
          <w:szCs w:val="24"/>
        </w:rPr>
        <w:t xml:space="preserve">.  </w:t>
      </w:r>
    </w:p>
    <w:p w14:paraId="6A4AB13E" w14:textId="77777777" w:rsidR="00FE0B0B" w:rsidRPr="00FE0B0B" w:rsidRDefault="00FE0B0B" w:rsidP="00FE0B0B">
      <w:pPr>
        <w:jc w:val="both"/>
        <w:rPr>
          <w:rFonts w:ascii="Cambria" w:hAnsi="Cambria"/>
          <w:sz w:val="24"/>
          <w:szCs w:val="24"/>
          <w:lang w:val="en-US"/>
        </w:rPr>
      </w:pPr>
    </w:p>
    <w:p w14:paraId="4E7E7B54" w14:textId="77777777" w:rsidR="00FE0B0B" w:rsidRPr="00FE0B0B" w:rsidRDefault="00FE0B0B" w:rsidP="00FE0B0B">
      <w:pPr>
        <w:jc w:val="both"/>
        <w:rPr>
          <w:rFonts w:ascii="Cambria" w:hAnsi="Cambria"/>
          <w:sz w:val="24"/>
          <w:szCs w:val="24"/>
        </w:rPr>
      </w:pPr>
      <w:r>
        <w:rPr>
          <w:rFonts w:ascii="Cambria" w:hAnsi="Cambria"/>
          <w:sz w:val="24"/>
          <w:szCs w:val="24"/>
        </w:rPr>
        <w:t xml:space="preserve">Retfærdighed og grundlæggende rettigheder er et af EU's politikområder. </w:t>
      </w:r>
      <w:r>
        <w:rPr>
          <w:rStyle w:val="Strong"/>
          <w:rFonts w:ascii="Cambria" w:hAnsi="Cambria"/>
          <w:sz w:val="24"/>
          <w:szCs w:val="24"/>
        </w:rPr>
        <w:t>Den Europæiske Unions charter om grundlæggende rettigheder</w:t>
      </w:r>
      <w:r>
        <w:rPr>
          <w:rFonts w:ascii="Cambria" w:hAnsi="Cambria"/>
          <w:sz w:val="24"/>
          <w:szCs w:val="24"/>
        </w:rPr>
        <w:t xml:space="preserve"> samler alle de personlige, borgerlige, politiske, økonomiske og sociale rettigheder, som mennesker inden for EU nyder godt af</w:t>
      </w:r>
      <w:r w:rsidRPr="00FE0B0B">
        <w:rPr>
          <w:rStyle w:val="FootnoteReference"/>
          <w:rFonts w:ascii="Cambria" w:hAnsi="Cambria"/>
          <w:sz w:val="24"/>
          <w:szCs w:val="24"/>
          <w:lang w:val="en-US"/>
        </w:rPr>
        <w:footnoteReference w:id="3"/>
      </w:r>
      <w:r>
        <w:rPr>
          <w:rFonts w:ascii="Cambria" w:hAnsi="Cambria"/>
          <w:sz w:val="24"/>
          <w:szCs w:val="24"/>
        </w:rPr>
        <w:t xml:space="preserve">. </w:t>
      </w:r>
    </w:p>
    <w:p w14:paraId="654E1D41" w14:textId="77777777" w:rsidR="00FE0B0B" w:rsidRPr="0090450C" w:rsidRDefault="00FE0B0B" w:rsidP="00FE0B0B">
      <w:pPr>
        <w:jc w:val="both"/>
        <w:rPr>
          <w:rFonts w:ascii="Cambria" w:hAnsi="Cambria"/>
          <w:sz w:val="24"/>
          <w:szCs w:val="24"/>
        </w:rPr>
      </w:pPr>
    </w:p>
    <w:p w14:paraId="00C53B5B" w14:textId="21631ABC" w:rsidR="00FE0B0B" w:rsidRPr="00FE0B0B" w:rsidRDefault="00FE0B0B" w:rsidP="00FE0B0B">
      <w:pPr>
        <w:jc w:val="both"/>
        <w:rPr>
          <w:rFonts w:ascii="Cambria" w:hAnsi="Cambria"/>
          <w:sz w:val="24"/>
          <w:szCs w:val="24"/>
        </w:rPr>
      </w:pPr>
      <w:r>
        <w:rPr>
          <w:rFonts w:ascii="Cambria" w:hAnsi="Cambria"/>
          <w:sz w:val="24"/>
          <w:szCs w:val="24"/>
        </w:rPr>
        <w:t>Artikel 26 i EU-chartret nævner udtrykkeligt:</w:t>
      </w:r>
    </w:p>
    <w:p w14:paraId="2982C563" w14:textId="77777777" w:rsidR="00FE0B0B" w:rsidRPr="00FE0B0B" w:rsidRDefault="00FE0B0B" w:rsidP="00FE0B0B">
      <w:pPr>
        <w:ind w:left="720"/>
        <w:jc w:val="both"/>
        <w:rPr>
          <w:rFonts w:ascii="Cambria" w:hAnsi="Cambria"/>
          <w:i/>
          <w:iCs/>
          <w:sz w:val="24"/>
          <w:szCs w:val="24"/>
        </w:rPr>
      </w:pPr>
      <w:r>
        <w:rPr>
          <w:rFonts w:ascii="Cambria" w:hAnsi="Cambria"/>
          <w:i/>
          <w:iCs/>
          <w:sz w:val="24"/>
          <w:szCs w:val="24"/>
        </w:rPr>
        <w:t>“Unionen anerkender og respekterer retten for mennesker med handicap til at nyde godt af foranstaltninger, der skal sikre deres autonomi, deres sociale og erhvervsmæssige integration og deres deltagelse i samfundslivet.”</w:t>
      </w:r>
      <w:r w:rsidRPr="00FE0B0B">
        <w:rPr>
          <w:rStyle w:val="FootnoteReference"/>
          <w:rFonts w:ascii="Cambria" w:hAnsi="Cambria"/>
          <w:i/>
          <w:iCs/>
          <w:sz w:val="24"/>
          <w:szCs w:val="24"/>
          <w:lang w:val="en-US"/>
        </w:rPr>
        <w:footnoteReference w:id="4"/>
      </w:r>
    </w:p>
    <w:p w14:paraId="18DB2AB4" w14:textId="77777777" w:rsidR="00FE0B0B" w:rsidRPr="00FE0B0B" w:rsidRDefault="00FE0B0B" w:rsidP="00FE0B0B">
      <w:pPr>
        <w:jc w:val="both"/>
        <w:rPr>
          <w:rFonts w:ascii="Cambria" w:hAnsi="Cambria"/>
          <w:sz w:val="24"/>
          <w:szCs w:val="24"/>
          <w:lang w:val="en-US"/>
        </w:rPr>
      </w:pPr>
    </w:p>
    <w:p w14:paraId="2B020229" w14:textId="77777777" w:rsidR="00FE0B0B" w:rsidRPr="00FE0B0B" w:rsidRDefault="00FE0B0B" w:rsidP="00FE0B0B">
      <w:pPr>
        <w:jc w:val="both"/>
        <w:rPr>
          <w:rFonts w:ascii="Cambria" w:hAnsi="Cambria"/>
          <w:sz w:val="24"/>
          <w:szCs w:val="24"/>
        </w:rPr>
      </w:pPr>
      <w:r>
        <w:rPr>
          <w:rFonts w:ascii="Cambria" w:hAnsi="Cambria"/>
          <w:sz w:val="24"/>
          <w:szCs w:val="24"/>
        </w:rPr>
        <w:t xml:space="preserve">Som nævnt på EU's websted ”skaber charteret ikke en generel beføjelse for Europa-Kommissionen til at gribe ind på området for grundlæggende rettigheder. Den kan kun gribe ind, når EU-lovgivningen kommer i spil (for eksempel når EU-lovgivning vedtages eller </w:t>
      </w:r>
      <w:r>
        <w:rPr>
          <w:rFonts w:ascii="Cambria" w:hAnsi="Cambria"/>
          <w:b/>
          <w:bCs/>
          <w:sz w:val="24"/>
          <w:szCs w:val="24"/>
        </w:rPr>
        <w:t>når en national foranstaltning anvender EU-retten på en måde, der er uforenelig med chartret</w:t>
      </w:r>
      <w:r>
        <w:rPr>
          <w:rFonts w:ascii="Cambria" w:hAnsi="Cambria"/>
          <w:sz w:val="24"/>
          <w:szCs w:val="24"/>
        </w:rPr>
        <w:t>)”</w:t>
      </w:r>
      <w:r w:rsidRPr="00FE0B0B">
        <w:rPr>
          <w:rStyle w:val="FootnoteReference"/>
          <w:rFonts w:ascii="Cambria" w:hAnsi="Cambria"/>
          <w:sz w:val="24"/>
          <w:szCs w:val="24"/>
          <w:lang w:val="en-US"/>
        </w:rPr>
        <w:footnoteReference w:id="5"/>
      </w:r>
      <w:r>
        <w:rPr>
          <w:rFonts w:ascii="Cambria" w:hAnsi="Cambria"/>
          <w:sz w:val="24"/>
          <w:szCs w:val="24"/>
        </w:rPr>
        <w:t xml:space="preserve">. </w:t>
      </w:r>
    </w:p>
    <w:p w14:paraId="0719BB06" w14:textId="77777777" w:rsidR="00FE0B0B" w:rsidRPr="0090450C" w:rsidRDefault="00FE0B0B" w:rsidP="00FE0B0B">
      <w:pPr>
        <w:jc w:val="both"/>
        <w:rPr>
          <w:rFonts w:ascii="Cambria" w:hAnsi="Cambria"/>
          <w:sz w:val="24"/>
          <w:szCs w:val="24"/>
        </w:rPr>
      </w:pPr>
    </w:p>
    <w:p w14:paraId="01288207" w14:textId="77777777" w:rsidR="00FE0B0B" w:rsidRPr="00FE0B0B" w:rsidRDefault="00FE0B0B" w:rsidP="00FE0B0B">
      <w:pPr>
        <w:jc w:val="both"/>
        <w:rPr>
          <w:rFonts w:ascii="Cambria" w:hAnsi="Cambria"/>
          <w:sz w:val="24"/>
          <w:szCs w:val="24"/>
        </w:rPr>
      </w:pPr>
      <w:r>
        <w:rPr>
          <w:rFonts w:ascii="Cambria" w:hAnsi="Cambria"/>
          <w:sz w:val="24"/>
          <w:szCs w:val="24"/>
        </w:rPr>
        <w:t xml:space="preserve">Da vi i øjeblikket gennemlever en epidemi og en sundhedskrise, vil vi gerne fokusere mere specifikt - selvom alle artiklerne i FN's konvention om rettigheder for personer med </w:t>
      </w:r>
      <w:r>
        <w:rPr>
          <w:rFonts w:ascii="Cambria" w:hAnsi="Cambria"/>
          <w:sz w:val="24"/>
          <w:szCs w:val="24"/>
        </w:rPr>
        <w:lastRenderedPageBreak/>
        <w:t xml:space="preserve">handicap er lige vigtige i denne sag - på artikel 11 i FN-konventionen, som er særlig relevant for tiden. </w:t>
      </w:r>
    </w:p>
    <w:p w14:paraId="0A110227" w14:textId="77777777" w:rsidR="00FE0B0B" w:rsidRPr="00FE0B0B" w:rsidRDefault="00FE0B0B" w:rsidP="00FE0B0B">
      <w:pPr>
        <w:jc w:val="both"/>
        <w:rPr>
          <w:rFonts w:ascii="Cambria" w:hAnsi="Cambria"/>
          <w:sz w:val="24"/>
          <w:szCs w:val="24"/>
        </w:rPr>
      </w:pPr>
      <w:r>
        <w:rPr>
          <w:rFonts w:ascii="Cambria" w:hAnsi="Cambria"/>
          <w:sz w:val="24"/>
          <w:szCs w:val="24"/>
        </w:rPr>
        <w:t xml:space="preserve">Faktisk </w:t>
      </w:r>
      <w:r>
        <w:rPr>
          <w:rFonts w:ascii="Cambria" w:hAnsi="Cambria"/>
          <w:b/>
          <w:bCs/>
          <w:sz w:val="24"/>
          <w:szCs w:val="24"/>
        </w:rPr>
        <w:t>nævner artikel 11 i FNs CRPD nævner specifikt situationer med risiko og humanitære nødsituationer</w:t>
      </w:r>
      <w:r>
        <w:rPr>
          <w:rFonts w:ascii="Cambria" w:hAnsi="Cambria"/>
          <w:sz w:val="24"/>
          <w:szCs w:val="24"/>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rPr>
      </w:pPr>
      <w:r>
        <w:rPr>
          <w:rFonts w:ascii="Cambria" w:hAnsi="Cambria"/>
          <w:i/>
          <w:iCs/>
        </w:rPr>
        <w:t>”Deltagerstaterne skal i overensstemmelse med deres forpligtelser i henhold til folkeretten, herunder den humanitære folkeret og den internationale menneskerettighedslovgivning, træffe alle nødvendige foranstaltninger for at sikre og beskytte handicappede i risikosituationer, herunder væbnede konflikter, humanitære katastrofer og naturkatastrofer.”</w:t>
      </w:r>
      <w:r w:rsidRPr="00FE0B0B">
        <w:rPr>
          <w:rStyle w:val="FootnoteReference"/>
          <w:rFonts w:ascii="Cambria" w:hAnsi="Cambria"/>
          <w:i/>
          <w:iCs/>
          <w:lang w:val="en-US"/>
        </w:rPr>
        <w:footnoteReference w:id="6"/>
      </w:r>
    </w:p>
    <w:p w14:paraId="538EAE89" w14:textId="77777777" w:rsidR="009A43AB" w:rsidRPr="00FE0B0B" w:rsidRDefault="009A43AB" w:rsidP="00FE0B0B">
      <w:pPr>
        <w:pStyle w:val="NormalWeb"/>
        <w:spacing w:before="0" w:beforeAutospacing="0" w:after="0" w:afterAutospacing="0"/>
        <w:jc w:val="both"/>
        <w:rPr>
          <w:rFonts w:ascii="Cambria" w:hAnsi="Cambria"/>
          <w:lang w:val="en-US"/>
        </w:rPr>
      </w:pPr>
    </w:p>
    <w:p w14:paraId="44AE8A1B" w14:textId="77777777" w:rsidR="00FE0B0B" w:rsidRPr="00FE0B0B" w:rsidRDefault="00FE0B0B" w:rsidP="00FE0B0B">
      <w:pPr>
        <w:jc w:val="both"/>
        <w:rPr>
          <w:rFonts w:ascii="Cambria" w:hAnsi="Cambria" w:cs="Open Sans"/>
          <w:sz w:val="24"/>
          <w:szCs w:val="24"/>
        </w:rPr>
      </w:pPr>
      <w:r>
        <w:rPr>
          <w:rFonts w:ascii="Cambria" w:hAnsi="Cambria"/>
          <w:sz w:val="24"/>
          <w:szCs w:val="24"/>
        </w:rPr>
        <w:t>Siden 1988 har</w:t>
      </w:r>
      <w:r>
        <w:rPr>
          <w:rFonts w:ascii="Cambria" w:hAnsi="Cambria"/>
          <w:b/>
          <w:bCs/>
          <w:sz w:val="24"/>
          <w:szCs w:val="24"/>
        </w:rPr>
        <w:t>, Inclusion Europe repræsenteret mennesker med intellektuelle handicap og deres familier i Europa og kæmper for deres lige rettigheder og fulde integration i alle livets aspekter</w:t>
      </w:r>
      <w:r>
        <w:rPr>
          <w:rFonts w:ascii="Cambria" w:hAnsi="Cambria"/>
          <w:sz w:val="24"/>
          <w:szCs w:val="24"/>
        </w:rPr>
        <w:t>.</w:t>
      </w:r>
    </w:p>
    <w:p w14:paraId="76F516A1" w14:textId="2320E219" w:rsidR="00FE0B0B" w:rsidRPr="00141CDD" w:rsidRDefault="00FE0B0B" w:rsidP="00FE0B0B">
      <w:pPr>
        <w:jc w:val="both"/>
        <w:rPr>
          <w:rFonts w:ascii="Cambria" w:hAnsi="Cambria" w:cs="Open Sans"/>
          <w:sz w:val="24"/>
          <w:szCs w:val="24"/>
        </w:rPr>
      </w:pPr>
      <w:r>
        <w:rPr>
          <w:rFonts w:ascii="Cambria" w:hAnsi="Cambria"/>
          <w:sz w:val="24"/>
          <w:szCs w:val="24"/>
        </w:rPr>
        <w:t xml:space="preserve">Inclusion Europe repræsenterer i øjeblikket 79 medlemsorganisationer i 39 europæiske lande. </w:t>
      </w:r>
    </w:p>
    <w:p w14:paraId="3372231D" w14:textId="77777777" w:rsidR="00FE0B0B" w:rsidRPr="00FE0B0B" w:rsidRDefault="00FE0B0B" w:rsidP="00FE0B0B">
      <w:pPr>
        <w:jc w:val="both"/>
        <w:rPr>
          <w:rFonts w:ascii="Cambria" w:hAnsi="Cambria" w:cs="Open Sans"/>
          <w:sz w:val="24"/>
          <w:szCs w:val="24"/>
        </w:rPr>
      </w:pPr>
      <w:r>
        <w:rPr>
          <w:rFonts w:ascii="Cambria" w:hAnsi="Cambria"/>
          <w:sz w:val="24"/>
          <w:szCs w:val="24"/>
        </w:rPr>
        <w:t xml:space="preserve">Siden starten af covid-19-nødsituationen har Inclusion Europe været aktiv for at informere vores medlemmer og give information i </w:t>
      </w:r>
      <w:hyperlink r:id="rId10" w:anchor="1584977061628-16fcec00-a699" w:history="1">
        <w:r>
          <w:rPr>
            <w:rStyle w:val="Hyperlink"/>
            <w:rFonts w:ascii="Cambria" w:hAnsi="Cambria"/>
            <w:sz w:val="24"/>
            <w:szCs w:val="24"/>
          </w:rPr>
          <w:t>Læs-let-form</w:t>
        </w:r>
      </w:hyperlink>
      <w:r>
        <w:rPr>
          <w:rFonts w:ascii="Cambria" w:hAnsi="Cambria"/>
          <w:sz w:val="24"/>
          <w:szCs w:val="24"/>
        </w:rPr>
        <w:t xml:space="preserve"> og </w:t>
      </w:r>
      <w:hyperlink r:id="rId11" w:anchor="1584977115025-1ebd5d7f-b126" w:history="1">
        <w:r>
          <w:rPr>
            <w:rStyle w:val="Hyperlink"/>
            <w:rFonts w:ascii="Cambria" w:hAnsi="Cambria"/>
            <w:sz w:val="24"/>
            <w:szCs w:val="24"/>
          </w:rPr>
          <w:t>at samle information</w:t>
        </w:r>
      </w:hyperlink>
      <w:r>
        <w:rPr>
          <w:rFonts w:ascii="Cambria" w:hAnsi="Cambria"/>
          <w:sz w:val="24"/>
          <w:szCs w:val="24"/>
        </w:rPr>
        <w:t xml:space="preserve"> fra vores medlemmer om, hvad der var foregået i medlemsstaten. </w:t>
      </w:r>
    </w:p>
    <w:p w14:paraId="3CB9D67E" w14:textId="77777777" w:rsidR="00FE0B0B" w:rsidRPr="00FE0B0B" w:rsidRDefault="00FE0B0B" w:rsidP="00FE0B0B">
      <w:pPr>
        <w:jc w:val="both"/>
        <w:rPr>
          <w:rFonts w:ascii="Cambria" w:hAnsi="Cambria" w:cs="Open Sans"/>
          <w:sz w:val="24"/>
          <w:szCs w:val="24"/>
          <w:lang w:val="en-GB"/>
        </w:rPr>
      </w:pPr>
    </w:p>
    <w:p w14:paraId="40667A23" w14:textId="6C7A8E67" w:rsidR="00FE0B0B" w:rsidRPr="009A43AB" w:rsidRDefault="00FE0B0B" w:rsidP="00FE0B0B">
      <w:pPr>
        <w:jc w:val="both"/>
        <w:rPr>
          <w:rFonts w:ascii="Cambria" w:hAnsi="Cambria"/>
          <w:b/>
          <w:bCs/>
          <w:sz w:val="24"/>
          <w:szCs w:val="24"/>
        </w:rPr>
      </w:pPr>
      <w:r>
        <w:rPr>
          <w:rFonts w:ascii="Cambria" w:hAnsi="Cambria"/>
          <w:b/>
          <w:bCs/>
          <w:sz w:val="24"/>
          <w:szCs w:val="24"/>
        </w:rPr>
        <w:t xml:space="preserve">Vi vil gerne henlede udvalgets opmærksomhed på flere tilfælde af, at nationale love er uforenelige med enten FN's konvention eller EU's charter om grundlæggende rettigheder, og bede dem om at samle opmærksomheden om de foranstaltninger, det er nødvendigt at træffe for at beskytte mennesker med intellektuel handicap og deres familier. </w:t>
      </w:r>
    </w:p>
    <w:p w14:paraId="5F22D760" w14:textId="77777777" w:rsidR="00FE0B0B" w:rsidRPr="009A43AB" w:rsidRDefault="00FE0B0B" w:rsidP="00FE0B0B">
      <w:pPr>
        <w:jc w:val="both"/>
        <w:rPr>
          <w:rFonts w:ascii="Cambria" w:hAnsi="Cambria" w:cs="Open Sans"/>
          <w:b/>
          <w:bCs/>
          <w:sz w:val="24"/>
          <w:szCs w:val="24"/>
          <w:lang w:val="en-GB"/>
        </w:rPr>
      </w:pPr>
    </w:p>
    <w:p w14:paraId="56AD7516" w14:textId="77777777" w:rsidR="00FE0B0B" w:rsidRPr="009A43AB" w:rsidRDefault="00FE0B0B" w:rsidP="00FE0B0B">
      <w:pPr>
        <w:jc w:val="both"/>
        <w:rPr>
          <w:rFonts w:ascii="Cambria" w:hAnsi="Cambria"/>
          <w:b/>
          <w:bCs/>
          <w:sz w:val="24"/>
          <w:szCs w:val="24"/>
          <w:u w:val="single"/>
          <w:lang w:val="en-GB"/>
        </w:rPr>
      </w:pPr>
    </w:p>
    <w:p w14:paraId="5771A675"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 xml:space="preserve">Den situation, vi ser i nogle lande: </w:t>
      </w:r>
    </w:p>
    <w:p w14:paraId="3E0BABB3" w14:textId="77777777" w:rsidR="00FE0B0B" w:rsidRPr="0090450C" w:rsidRDefault="00FE0B0B" w:rsidP="00FE0B0B">
      <w:pPr>
        <w:jc w:val="both"/>
        <w:rPr>
          <w:rFonts w:ascii="Cambria" w:hAnsi="Cambria"/>
          <w:sz w:val="24"/>
          <w:szCs w:val="24"/>
          <w:lang w:val="fr-BE"/>
        </w:rPr>
      </w:pPr>
    </w:p>
    <w:p w14:paraId="60C6B9A8"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Mennesker med intellektuelle handicap syge med Covid 19</w:t>
      </w:r>
    </w:p>
    <w:p w14:paraId="42CD54BF" w14:textId="7455C94D"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Mennesker, der ikke får medicinsk behandling for deres tilstand , fordi de er for "vanskelige" </w:t>
      </w:r>
    </w:p>
    <w:p w14:paraId="5A3900BF"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Kommunikation: ingen mulighed for at forstå, hvad der foregår, højt niveau af stress og angst og ingen mulighed for at blive ledsaget af en person til at forklare, hvad der foregår </w:t>
      </w:r>
    </w:p>
    <w:p w14:paraId="57DE85AA" w14:textId="69D280E1"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Meget chokerende visitationsregler på hospitaler, der har det helt klare mål ikke at tage sig af mennesker med handicap, fordi de har ringe chance for helbredelse, og deres liv er det alligevel ikke "værd"</w:t>
      </w:r>
    </w:p>
    <w:p w14:paraId="4BA72582" w14:textId="5028474C" w:rsid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Adgang til sundhedsydelser, som mennesker havde dagligt forud for krisen</w:t>
      </w:r>
    </w:p>
    <w:p w14:paraId="78636765" w14:textId="56F7B2D9"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Mennesker bliver efterladt uden støtte af nogen art, som International Disability Alliance har sagt: ”personer med handicap dør ikke bare på </w:t>
      </w:r>
      <w:r>
        <w:rPr>
          <w:rFonts w:ascii="Cambria" w:hAnsi="Cambria"/>
          <w:sz w:val="24"/>
          <w:szCs w:val="24"/>
        </w:rPr>
        <w:lastRenderedPageBreak/>
        <w:t xml:space="preserve">grund af coronavirus, vi dør også af mangel på tjenesteydelser på grund af manglen på socioøkonomisk støtte”. </w:t>
      </w:r>
    </w:p>
    <w:p w14:paraId="0EBAA247" w14:textId="5571FE54"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Børn uden skolegang, fordi skoler ikke kan kommunikere med dem og familier, der bliver henvist til selv at tage sig af alt fra madforsyning til skolegang</w:t>
      </w:r>
    </w:p>
    <w:p w14:paraId="28F03744"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Da uddannelsessituationen i Europa næsten ikke var inkluderende før krisen, og uddannelsen var meget opdelt..., er situationen i Europa i krisetider katastrofal. Børn har ingen støttepersoner, da støttepersoner ikke betragtes som ”vigtige job” i mange EU-lande. </w:t>
      </w:r>
    </w:p>
    <w:p w14:paraId="2284EB65"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Manglende mulighed for at kontakte familie og venner og føre en normal, menneskelig samtale?</w:t>
      </w:r>
    </w:p>
    <w:p w14:paraId="6047444D" w14:textId="57570C77"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Mennesker i såkaldte “plejehjem”/institutioner bliver lukket inde. Dette betyder, at familier ikke kan besøge dem, og at mennesker faktisk risikerer at blive smittet, da der, som det er blevet sagt mange gange, ikke findes værnemidler i disse institutioner. </w:t>
      </w:r>
    </w:p>
    <w:p w14:paraId="418604C7" w14:textId="09E02BC4"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Dette kaster virkelig lys over store bostedsinstitutioner med "pleje”, og viser dem som det, de er: trykkogere af risici og problemer, ikke de "sikre steder", de sælger sig selv for at være.</w:t>
      </w:r>
      <w:r>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29142A2C" w14:textId="77777777" w:rsidR="00FE0B0B" w:rsidRPr="00FE0B0B" w:rsidRDefault="00FE0B0B" w:rsidP="00FE0B0B">
      <w:pPr>
        <w:jc w:val="both"/>
        <w:rPr>
          <w:rFonts w:ascii="Cambria" w:hAnsi="Cambria"/>
          <w:sz w:val="24"/>
          <w:szCs w:val="24"/>
          <w:lang w:val="en-US"/>
        </w:rPr>
      </w:pPr>
    </w:p>
    <w:p w14:paraId="05A2988E" w14:textId="77777777" w:rsidR="00FE0B0B" w:rsidRPr="00FE0B0B" w:rsidRDefault="00FE0B0B" w:rsidP="00FE0B0B">
      <w:pPr>
        <w:jc w:val="both"/>
        <w:rPr>
          <w:rFonts w:ascii="Cambria" w:hAnsi="Cambria"/>
          <w:sz w:val="24"/>
          <w:szCs w:val="24"/>
        </w:rPr>
      </w:pPr>
      <w:r>
        <w:rPr>
          <w:rFonts w:ascii="Cambria" w:hAnsi="Cambria"/>
          <w:sz w:val="24"/>
          <w:szCs w:val="24"/>
        </w:rPr>
        <w:t xml:space="preserve">Konklusionen er, at situationen er </w:t>
      </w:r>
      <w:r>
        <w:rPr>
          <w:rFonts w:ascii="Cambria" w:hAnsi="Cambria"/>
          <w:b/>
          <w:bCs/>
          <w:sz w:val="24"/>
          <w:szCs w:val="24"/>
        </w:rPr>
        <w:t>fuld af paradokser</w:t>
      </w:r>
      <w:r>
        <w:rPr>
          <w:rFonts w:ascii="Cambria" w:hAnsi="Cambria"/>
          <w:sz w:val="24"/>
          <w:szCs w:val="24"/>
        </w:rPr>
        <w:t xml:space="preserve"> for mennesker på institutioner, der gerne vil vende tilbage til deres familier, men ikke må, og dem, der "sidder fast" hos deres familier, når det eneste, de hellere ville, mere end noget andet, var være uafhængige! </w:t>
      </w:r>
    </w:p>
    <w:p w14:paraId="49C32666" w14:textId="77777777" w:rsidR="00FE0B0B" w:rsidRPr="00FE0B0B" w:rsidRDefault="00FE0B0B" w:rsidP="00FE0B0B">
      <w:pPr>
        <w:jc w:val="both"/>
        <w:rPr>
          <w:rFonts w:ascii="Cambria" w:hAnsi="Cambria"/>
          <w:sz w:val="24"/>
          <w:szCs w:val="24"/>
          <w:lang w:val="en-US"/>
        </w:rPr>
      </w:pPr>
    </w:p>
    <w:p w14:paraId="5EA4F457" w14:textId="50DCE14B" w:rsidR="00FE0B0B" w:rsidRPr="00FE0B0B" w:rsidRDefault="00FE0B0B" w:rsidP="00FE0B0B">
      <w:pPr>
        <w:jc w:val="both"/>
        <w:rPr>
          <w:rFonts w:ascii="Cambria" w:hAnsi="Cambria"/>
          <w:sz w:val="24"/>
          <w:szCs w:val="24"/>
        </w:rPr>
      </w:pPr>
      <w:r>
        <w:rPr>
          <w:rFonts w:ascii="Cambria" w:hAnsi="Cambria"/>
          <w:sz w:val="24"/>
          <w:szCs w:val="24"/>
        </w:rPr>
        <w:t xml:space="preserve">Coronavirus og nedlukningen fremhæver den </w:t>
      </w:r>
      <w:r>
        <w:rPr>
          <w:rFonts w:ascii="Cambria" w:hAnsi="Cambria"/>
          <w:b/>
          <w:bCs/>
          <w:sz w:val="24"/>
          <w:szCs w:val="24"/>
        </w:rPr>
        <w:t>vedvarende udskillelse og diskrimination</w:t>
      </w:r>
      <w:r>
        <w:rPr>
          <w:rFonts w:ascii="Cambria" w:hAnsi="Cambria"/>
          <w:sz w:val="24"/>
          <w:szCs w:val="24"/>
        </w:rPr>
        <w:t xml:space="preserve"> af mennesker med intellektuelle handicap, især hvad angår adgang til sundhedsydelser.</w:t>
      </w:r>
    </w:p>
    <w:p w14:paraId="793E8CE9" w14:textId="700B7155" w:rsidR="00FE0B0B" w:rsidRPr="00FE0B0B" w:rsidRDefault="00FE0B0B" w:rsidP="00FE0B0B">
      <w:pPr>
        <w:jc w:val="both"/>
        <w:rPr>
          <w:rFonts w:ascii="Cambria" w:hAnsi="Cambria"/>
          <w:sz w:val="24"/>
          <w:szCs w:val="24"/>
        </w:rPr>
      </w:pPr>
      <w:r>
        <w:rPr>
          <w:rFonts w:ascii="Cambria" w:hAnsi="Cambria"/>
          <w:sz w:val="24"/>
          <w:szCs w:val="24"/>
        </w:rPr>
        <w:t>Det coronavirus-nødsituationen gør for millioner af dem overalt i Europa, er at gøre disse dele af det daglige liv værre.</w:t>
      </w:r>
      <w:r w:rsidRPr="00FE0B0B">
        <w:rPr>
          <w:rStyle w:val="FootnoteReference"/>
          <w:rFonts w:ascii="Cambria" w:hAnsi="Cambria"/>
          <w:sz w:val="24"/>
          <w:szCs w:val="24"/>
        </w:rPr>
        <w:footnoteReference w:id="8"/>
      </w:r>
    </w:p>
    <w:p w14:paraId="6FB0C8A4" w14:textId="77777777" w:rsidR="00FE0B0B" w:rsidRPr="00FE0B0B" w:rsidRDefault="00FE0B0B" w:rsidP="00FE0B0B">
      <w:pPr>
        <w:jc w:val="both"/>
        <w:rPr>
          <w:rFonts w:ascii="Cambria" w:hAnsi="Cambria"/>
          <w:sz w:val="24"/>
          <w:szCs w:val="24"/>
          <w:lang w:val="en-US"/>
        </w:rPr>
      </w:pPr>
    </w:p>
    <w:p w14:paraId="6C0E4179" w14:textId="77777777" w:rsidR="00FE0B0B" w:rsidRPr="00FE0B0B" w:rsidRDefault="00FE0B0B" w:rsidP="00FE0B0B">
      <w:pPr>
        <w:jc w:val="both"/>
        <w:rPr>
          <w:rFonts w:ascii="Cambria" w:hAnsi="Cambria"/>
          <w:sz w:val="24"/>
          <w:szCs w:val="24"/>
          <w:lang w:val="en-US"/>
        </w:rPr>
      </w:pPr>
    </w:p>
    <w:p w14:paraId="79F2AF92"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Konkrete foranstaltninger, EU kunne træffe for at beskytte mennesker med intellektuelle handicap</w:t>
      </w:r>
    </w:p>
    <w:p w14:paraId="6E46748A" w14:textId="77777777" w:rsidR="00FE0B0B" w:rsidRPr="00FE0B0B" w:rsidRDefault="00FE0B0B" w:rsidP="00FE0B0B">
      <w:pPr>
        <w:jc w:val="both"/>
        <w:rPr>
          <w:rFonts w:ascii="Cambria" w:hAnsi="Cambria"/>
          <w:sz w:val="24"/>
          <w:szCs w:val="24"/>
          <w:lang w:val="en-US"/>
        </w:rPr>
      </w:pPr>
    </w:p>
    <w:p w14:paraId="2DC7C5A5" w14:textId="0E6F1A77" w:rsidR="00FE0B0B" w:rsidRDefault="00FE0B0B" w:rsidP="00FE0B0B">
      <w:pPr>
        <w:tabs>
          <w:tab w:val="left" w:pos="1272"/>
        </w:tabs>
        <w:jc w:val="both"/>
        <w:rPr>
          <w:rFonts w:ascii="Cambria" w:hAnsi="Cambria"/>
          <w:sz w:val="24"/>
          <w:szCs w:val="24"/>
        </w:rPr>
      </w:pPr>
      <w:r>
        <w:rPr>
          <w:rFonts w:ascii="Cambria" w:hAnsi="Cambria"/>
          <w:sz w:val="24"/>
          <w:szCs w:val="24"/>
        </w:rPr>
        <w:t xml:space="preserve">Hvad angår den umiddelbare sundhedsmæssige reaktion skal det sikres, at den er forenelig med både EU-chartret og FN-konventionen, og man skal have for øje, at alle liv er lige, og at ingen tredjepart kan anses for at være i stand til bedømme, om en persons liv er noget værd eller ikke er det. </w:t>
      </w:r>
    </w:p>
    <w:p w14:paraId="70E0B8A2" w14:textId="77777777" w:rsidR="00FE0B0B" w:rsidRPr="00FE0B0B" w:rsidRDefault="00FE0B0B" w:rsidP="00FE0B0B">
      <w:pPr>
        <w:tabs>
          <w:tab w:val="left" w:pos="1272"/>
        </w:tabs>
        <w:jc w:val="both"/>
        <w:rPr>
          <w:rFonts w:ascii="Cambria" w:hAnsi="Cambria"/>
          <w:sz w:val="24"/>
          <w:szCs w:val="24"/>
          <w:lang w:val="en-US"/>
        </w:rPr>
      </w:pPr>
    </w:p>
    <w:p w14:paraId="1FF1BFC1" w14:textId="42B9170E" w:rsidR="00FE0B0B" w:rsidRPr="00FE0B0B" w:rsidRDefault="009A43AB" w:rsidP="003712C2">
      <w:pPr>
        <w:tabs>
          <w:tab w:val="left" w:pos="1272"/>
        </w:tabs>
        <w:jc w:val="both"/>
        <w:rPr>
          <w:rFonts w:ascii="Cambria" w:hAnsi="Cambria"/>
          <w:sz w:val="24"/>
          <w:szCs w:val="24"/>
        </w:rPr>
      </w:pPr>
      <w:r>
        <w:rPr>
          <w:rFonts w:ascii="Cambria" w:hAnsi="Cambria"/>
          <w:sz w:val="24"/>
          <w:szCs w:val="24"/>
        </w:rPr>
        <w:lastRenderedPageBreak/>
        <w:t>”At tilføje en realistisk udsigt til en afslutning af nedlukningen på grund af coronavirus vil ikke give mennesker med intellektuelle handicap nogen lettelse, kun en symbolsk start på en lang periode med fortræd og lidelse borte fra mediernes opmærksomhed.</w:t>
      </w:r>
    </w:p>
    <w:p w14:paraId="76D2A78A"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Selv hvis forholdene bevæger sig tilbage til normale i tiden før pandemien, betyder det fortsat, at handicappede adskilles fra deres lokalsamfund og fra skoler; at det er familierne, der skal sørge for det meste pleje og støtte og kæmpe for hver centimeter fremskridt og anerkendelse; det betyder stadig, at mennesker med intellektuelle handicap ikke modtager ordentlige sundhedsydelser.</w:t>
      </w:r>
    </w:p>
    <w:p w14:paraId="0A7252E5"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Så utiltalende det end lyder, vil det stadig være bedre end det, vi må frygte mest, nemlig de økonomiske følgevirkninger og nedskæringerne i ydelserne. </w:t>
      </w:r>
    </w:p>
    <w:p w14:paraId="5EE2D51C"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Vi har set den dødelige virkning af finanskrisen i 2009, nedlukkede tjenester, nedskårne handicap- og sociale ydelser, massiv arbejdsløshed og endelig den pris, der betaltes af menneskers trivsel og liv.</w:t>
      </w:r>
    </w:p>
    <w:p w14:paraId="3F167CAC" w14:textId="0D5F7C2D"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[Dette er grunden til at det for undgå en sådan tragedie er vigtigt, at] nationale myndigheder og EU-myndigheder sikrer, at milliarderne i økonomiske indsprøjtninger efter korona først og fremmest bliver målrettet mennesker med handicap og andre "sårbare" grupper. </w:t>
      </w:r>
    </w:p>
    <w:p w14:paraId="5CB9A2BB"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Indtil videre er tegnene ikke opmuntrende, og oplysningsstrømmen er fokuseret på virksomheder og beskæftigelse, på at bruge EU's samhørighedspenge til at finansiere de korona-foranstaltninger, der nu engang er nødvendige. </w:t>
      </w:r>
    </w:p>
    <w:p w14:paraId="58A4CE60" w14:textId="0CB242EB"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Virksomheder og beskæftigelse er vigtige, men det er ikke alt. Penge, der tages fra samhørighedsfondene nu, vil blive savnet senere. Trickle-down økonomi fungerer ikke, som mange med rette påpeger ved at se til udlandet.</w:t>
      </w:r>
    </w:p>
    <w:p w14:paraId="458E2F09" w14:textId="683EEAA7" w:rsidR="009A43AB" w:rsidRPr="00E55382" w:rsidRDefault="009A43AB" w:rsidP="003712C2">
      <w:pPr>
        <w:jc w:val="both"/>
        <w:rPr>
          <w:rFonts w:ascii="Cambria" w:eastAsia="Times New Roman" w:hAnsi="Cambria" w:cs="Times New Roman"/>
          <w:sz w:val="24"/>
          <w:szCs w:val="24"/>
        </w:rPr>
      </w:pPr>
      <w:r>
        <w:rPr>
          <w:rFonts w:ascii="Cambria" w:hAnsi="Cambria"/>
          <w:sz w:val="24"/>
          <w:szCs w:val="24"/>
        </w:rPr>
        <w:t>[…]</w:t>
      </w:r>
    </w:p>
    <w:p w14:paraId="7AAF5744"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Det, der er behov for, er </w:t>
      </w:r>
      <w:r>
        <w:rPr>
          <w:rFonts w:ascii="Cambria" w:hAnsi="Cambria"/>
          <w:b/>
          <w:bCs/>
          <w:sz w:val="24"/>
          <w:szCs w:val="24"/>
        </w:rPr>
        <w:t>at handicaprelaterede tjenester vender tilbage til det normale som en prioritet blandt de første, der åbner ved "udgangen af nedlukningen"</w:t>
      </w:r>
      <w:r>
        <w:rPr>
          <w:rFonts w:ascii="Cambria" w:hAnsi="Cambria"/>
          <w:sz w:val="24"/>
          <w:szCs w:val="24"/>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rPr>
      </w:pPr>
      <w:r>
        <w:rPr>
          <w:rFonts w:ascii="Cambria" w:hAnsi="Cambria"/>
          <w:sz w:val="24"/>
          <w:szCs w:val="24"/>
        </w:rPr>
        <w:t xml:space="preserve">Det, der er behov for, er </w:t>
      </w:r>
      <w:r>
        <w:rPr>
          <w:rFonts w:ascii="Cambria" w:hAnsi="Cambria"/>
          <w:b/>
          <w:bCs/>
          <w:sz w:val="24"/>
          <w:szCs w:val="24"/>
        </w:rPr>
        <w:t>økonomiske foranstaltninger efter corona, der ikke blot når ud til, men starter med mennesker, intellektuelle handicap og deres familier</w:t>
      </w:r>
      <w:r>
        <w:rPr>
          <w:rFonts w:ascii="Cambria" w:hAnsi="Cambria"/>
          <w:sz w:val="24"/>
          <w:szCs w:val="24"/>
        </w:rPr>
        <w:t>. ”</w:t>
      </w:r>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4A28F" w14:textId="77777777" w:rsidR="00714865" w:rsidRDefault="00714865" w:rsidP="00FE0B0B">
      <w:r>
        <w:separator/>
      </w:r>
    </w:p>
  </w:endnote>
  <w:endnote w:type="continuationSeparator" w:id="0">
    <w:p w14:paraId="27A3EAE1" w14:textId="77777777" w:rsidR="00714865" w:rsidRDefault="00714865"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6AB10" w14:textId="77777777" w:rsidR="0090450C" w:rsidRDefault="00904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51816C24" w:rsidR="003712C2" w:rsidRDefault="003712C2">
        <w:pPr>
          <w:pStyle w:val="Footer"/>
          <w:jc w:val="right"/>
        </w:pPr>
        <w:r>
          <w:fldChar w:fldCharType="begin"/>
        </w:r>
        <w:r>
          <w:instrText xml:space="preserve"> PAGE   \* MERGEFORMAT </w:instrText>
        </w:r>
        <w:r>
          <w:fldChar w:fldCharType="separate"/>
        </w:r>
        <w:r>
          <w:t>2</w:t>
        </w:r>
        <w:r>
          <w:fldChar w:fldCharType="end"/>
        </w:r>
      </w:p>
    </w:sdtContent>
  </w:sdt>
  <w:p w14:paraId="6CAF6CFB" w14:textId="77777777" w:rsidR="00921EC4" w:rsidRDefault="00921EC4" w:rsidP="00921EC4">
    <w:pPr>
      <w:spacing w:before="60"/>
      <w:rPr>
        <w:b/>
        <w:noProof/>
        <w:sz w:val="16"/>
        <w:szCs w:val="16"/>
        <w:lang w:val="en-GB"/>
      </w:rPr>
    </w:pPr>
  </w:p>
  <w:p w14:paraId="20F4C90E" w14:textId="77777777" w:rsidR="00921EC4" w:rsidRDefault="00921EC4" w:rsidP="00921EC4">
    <w:pPr>
      <w:spacing w:before="60"/>
      <w:rPr>
        <w:noProof/>
        <w:sz w:val="6"/>
        <w:szCs w:val="16"/>
        <w:lang w:val="en-GB"/>
      </w:rPr>
    </w:pPr>
    <w:r>
      <w:rPr>
        <w:noProof/>
        <w:lang w:val="hu-HU"/>
      </w:rPr>
      <w:drawing>
        <wp:anchor distT="0" distB="0" distL="114300" distR="114300" simplePos="0" relativeHeight="251664384" behindDoc="1" locked="0" layoutInCell="1" allowOverlap="1" wp14:anchorId="34ADF039" wp14:editId="0FE58749">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Picture 5"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b/>
        <w:noProof/>
        <w:sz w:val="16"/>
        <w:szCs w:val="16"/>
        <w:lang w:val="en-GB"/>
      </w:rPr>
      <w:t>Inclusion Europe</w:t>
    </w:r>
    <w:r>
      <w:rPr>
        <w:noProof/>
        <w:sz w:val="16"/>
        <w:szCs w:val="16"/>
        <w:lang w:val="en-GB"/>
      </w:rPr>
      <w:br/>
      <w:t>European movement of people with intellectual disabilities and their families</w:t>
    </w:r>
    <w:r>
      <w:rPr>
        <w:noProof/>
        <w:sz w:val="16"/>
        <w:szCs w:val="16"/>
        <w:lang w:val="en-GB"/>
      </w:rPr>
      <w:tab/>
    </w:r>
    <w:r>
      <w:rPr>
        <w:noProof/>
        <w:sz w:val="1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r>
      <w:rPr>
        <w:noProof/>
        <w:sz w:val="6"/>
        <w:szCs w:val="16"/>
        <w:lang w:val="en-GB"/>
      </w:rPr>
      <w:tab/>
    </w:r>
  </w:p>
  <w:p w14:paraId="69D1D8E7" w14:textId="77777777" w:rsidR="00921EC4" w:rsidRDefault="00921EC4" w:rsidP="00921EC4">
    <w:pPr>
      <w:tabs>
        <w:tab w:val="right" w:pos="8647"/>
      </w:tabs>
      <w:spacing w:before="60"/>
      <w:rPr>
        <w:noProof/>
        <w:sz w:val="6"/>
        <w:szCs w:val="16"/>
        <w:lang w:val="en-GB"/>
      </w:rPr>
    </w:pPr>
    <w:r>
      <w:rPr>
        <w:noProof/>
        <w:sz w:val="14"/>
        <w:szCs w:val="14"/>
        <w:lang w:val="en-GB"/>
      </w:rPr>
      <w:t>Avenue des Arts 3, 1210 Brussels, Belgium</w:t>
    </w:r>
    <w:r>
      <w:rPr>
        <w:noProof/>
        <w:sz w:val="14"/>
        <w:szCs w:val="14"/>
        <w:lang w:val="en-GB"/>
      </w:rPr>
      <w:tab/>
    </w:r>
    <w:r>
      <w:rPr>
        <w:noProof/>
        <w:sz w:val="14"/>
        <w:szCs w:val="14"/>
        <w:lang w:val="en-GB"/>
      </w:rPr>
      <w:br/>
      <w:t xml:space="preserve">+32 25 02 28 15 </w:t>
    </w:r>
    <w:r>
      <w:rPr>
        <w:noProof/>
        <w:sz w:val="14"/>
        <w:szCs w:val="14"/>
        <w:lang w:val="en-GB"/>
      </w:rPr>
      <w:tab/>
      <w:t>Co-funded by</w:t>
    </w:r>
    <w:r>
      <w:rPr>
        <w:noProof/>
        <w:sz w:val="14"/>
        <w:szCs w:val="14"/>
        <w:lang w:val="en-GB"/>
      </w:rPr>
      <w:br/>
    </w:r>
    <w:hyperlink r:id="rId2" w:history="1">
      <w:r>
        <w:rPr>
          <w:rStyle w:val="Hyperlink"/>
          <w:sz w:val="14"/>
          <w:szCs w:val="14"/>
          <w:lang w:val="en-GB"/>
        </w:rPr>
        <w:t>secretariat@inclusion-europe.org</w:t>
      </w:r>
    </w:hyperlink>
    <w:r>
      <w:rPr>
        <w:noProof/>
        <w:sz w:val="14"/>
        <w:szCs w:val="14"/>
        <w:lang w:val="en-GB"/>
      </w:rPr>
      <w:t xml:space="preserve"> </w:t>
    </w:r>
    <w:r>
      <w:rPr>
        <w:noProof/>
        <w:sz w:val="14"/>
        <w:szCs w:val="14"/>
        <w:lang w:val="en-GB"/>
      </w:rPr>
      <w:tab/>
      <w:t>the European Union</w:t>
    </w:r>
    <w:r>
      <w:rPr>
        <w:noProof/>
        <w:sz w:val="14"/>
        <w:szCs w:val="14"/>
        <w:lang w:val="en-GB"/>
      </w:rPr>
      <w:br/>
    </w:r>
  </w:p>
  <w:p w14:paraId="327B0650" w14:textId="77777777" w:rsidR="00921EC4" w:rsidRDefault="00921EC4" w:rsidP="00921EC4">
    <w:pPr>
      <w:tabs>
        <w:tab w:val="left" w:pos="284"/>
        <w:tab w:val="left" w:pos="2552"/>
        <w:tab w:val="left" w:pos="4678"/>
        <w:tab w:val="right" w:pos="8647"/>
      </w:tabs>
      <w:rPr>
        <w:noProof/>
        <w:sz w:val="14"/>
        <w:szCs w:val="14"/>
        <w:lang w:val="en-GB"/>
      </w:rPr>
    </w:pPr>
    <w:r>
      <w:rPr>
        <w:noProof/>
        <w:lang w:val="hu-HU"/>
      </w:rPr>
      <w:drawing>
        <wp:anchor distT="0" distB="0" distL="114300" distR="114300" simplePos="0" relativeHeight="251662336" behindDoc="0" locked="0" layoutInCell="1" allowOverlap="1" wp14:anchorId="7383C76B" wp14:editId="21865427">
          <wp:simplePos x="0" y="0"/>
          <wp:positionH relativeFrom="page">
            <wp:posOffset>3740785</wp:posOffset>
          </wp:positionH>
          <wp:positionV relativeFrom="paragraph">
            <wp:posOffset>45085</wp:posOffset>
          </wp:positionV>
          <wp:extent cx="97155" cy="971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hu-HU"/>
      </w:rPr>
      <w:drawing>
        <wp:anchor distT="0" distB="0" distL="114300" distR="114300" simplePos="0" relativeHeight="251663360" behindDoc="0" locked="0" layoutInCell="1" allowOverlap="1" wp14:anchorId="39570E72" wp14:editId="5BD200AE">
          <wp:simplePos x="0" y="0"/>
          <wp:positionH relativeFrom="margin">
            <wp:posOffset>4101465</wp:posOffset>
          </wp:positionH>
          <wp:positionV relativeFrom="paragraph">
            <wp:posOffset>34925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hu-HU"/>
      </w:rPr>
      <w:drawing>
        <wp:anchor distT="0" distB="0" distL="114300" distR="114300" simplePos="0" relativeHeight="251661312" behindDoc="0" locked="0" layoutInCell="1" allowOverlap="1" wp14:anchorId="2271082D" wp14:editId="65536E94">
          <wp:simplePos x="0" y="0"/>
          <wp:positionH relativeFrom="margin">
            <wp:posOffset>1489075</wp:posOffset>
          </wp:positionH>
          <wp:positionV relativeFrom="paragraph">
            <wp:posOffset>36195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noProof/>
          <w:sz w:val="14"/>
          <w:szCs w:val="14"/>
          <w:lang w:val="en-GB"/>
        </w:rPr>
        <w:t>www.inclusion-europe.eu</w:t>
      </w:r>
    </w:hyperlink>
    <w:r>
      <w:rPr>
        <w:noProof/>
        <w:sz w:val="14"/>
        <w:szCs w:val="14"/>
        <w:lang w:val="en-GB"/>
      </w:rPr>
      <w:tab/>
      <w:t>@InclusionEurope</w:t>
    </w:r>
    <w:r>
      <w:rPr>
        <w:noProof/>
        <w:sz w:val="14"/>
        <w:szCs w:val="14"/>
        <w:lang w:val="en-GB"/>
      </w:rPr>
      <w:tab/>
      <w:t>@InclusionEurope</w:t>
    </w:r>
    <w:r>
      <w:rPr>
        <w:noProof/>
        <w:sz w:val="14"/>
        <w:szCs w:val="14"/>
        <w:lang w:val="en-GB"/>
      </w:rPr>
      <w:tab/>
      <w:t>youtube.com/InclusionEurope</w:t>
    </w:r>
  </w:p>
  <w:p w14:paraId="4C0907D4" w14:textId="77777777" w:rsidR="003712C2" w:rsidRPr="00921EC4" w:rsidRDefault="003712C2" w:rsidP="00921EC4">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572F" w14:textId="77777777" w:rsidR="0090450C" w:rsidRDefault="00904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9885D" w14:textId="77777777" w:rsidR="00714865" w:rsidRDefault="00714865" w:rsidP="00FE0B0B">
      <w:r>
        <w:separator/>
      </w:r>
    </w:p>
  </w:footnote>
  <w:footnote w:type="continuationSeparator" w:id="0">
    <w:p w14:paraId="3B228B2E" w14:textId="77777777" w:rsidR="00714865" w:rsidRDefault="00714865" w:rsidP="00FE0B0B">
      <w:r>
        <w:continuationSeparator/>
      </w:r>
    </w:p>
  </w:footnote>
  <w:footnote w:id="1">
    <w:p w14:paraId="3491C3D3" w14:textId="77777777" w:rsidR="00FE0B0B" w:rsidRPr="00C2341A" w:rsidRDefault="00FE0B0B" w:rsidP="00FE0B0B">
      <w:pPr>
        <w:pStyle w:val="FootnoteText"/>
      </w:pPr>
      <w:r>
        <w:rPr>
          <w:rStyle w:val="FootnoteReference"/>
        </w:rPr>
        <w:footnoteRef/>
      </w:r>
      <w:r>
        <w:t xml:space="preserve"> Rådets afgørelse 2010/48/EF </w:t>
      </w:r>
      <w:hyperlink r:id="rId1" w:history="1">
        <w:r>
          <w:rPr>
            <w:rStyle w:val="Hyperlink"/>
          </w:rPr>
          <w:t>https://eur-lex.europa.eu/legal-content/DA/TXT/HTML/?uri=OJ:JOL_2010_023_R_0035_01&amp;from=DA</w:t>
        </w:r>
      </w:hyperlink>
      <w:r>
        <w:t xml:space="preserve"> og adfærdskodeks 2010/C 340/08 </w:t>
      </w:r>
      <w:hyperlink r:id="rId2" w:history="1">
        <w:r>
          <w:rPr>
            <w:rStyle w:val="Hyperlink"/>
          </w:rPr>
          <w:t>https://eur-lex.europa.eu/LexUriServ/LexUriServ.do?uri=OJ:C:2010:340:0011:0015:DA:PDF</w:t>
        </w:r>
      </w:hyperlink>
      <w:r>
        <w:t xml:space="preserve"> </w:t>
      </w:r>
    </w:p>
  </w:footnote>
  <w:footnote w:id="2">
    <w:p w14:paraId="57124A18" w14:textId="77777777" w:rsidR="00FE0B0B" w:rsidRPr="00456837" w:rsidRDefault="00FE0B0B" w:rsidP="00FE0B0B">
      <w:pPr>
        <w:pStyle w:val="FootnoteText"/>
      </w:pPr>
      <w:r>
        <w:rPr>
          <w:rStyle w:val="FootnoteReference"/>
        </w:rPr>
        <w:footnoteRef/>
      </w:r>
      <w:r>
        <w:t xml:space="preserve"> </w:t>
      </w:r>
      <w:r>
        <w:t xml:space="preserve">EU </w:t>
      </w:r>
      <w:r>
        <w:t xml:space="preserve">har ratificeret konventionen. Hvad betyder dette, An-Sofie Leenknecht, Europæisk Handicapforum </w:t>
      </w:r>
      <w:hyperlink r:id="rId3" w:history="1">
        <w:r>
          <w:rPr>
            <w:rStyle w:val="Hyperlink"/>
          </w:rPr>
          <w:t>http://www.edf-feph.org/eu-has-ratified-convention-what-does-mean</w:t>
        </w:r>
      </w:hyperlink>
      <w:r>
        <w:t xml:space="preserve"> </w:t>
      </w:r>
    </w:p>
  </w:footnote>
  <w:footnote w:id="3">
    <w:p w14:paraId="73B16FC1" w14:textId="77777777" w:rsidR="00FE0B0B" w:rsidRPr="00C2341A" w:rsidRDefault="00FE0B0B" w:rsidP="00FE0B0B">
      <w:pPr>
        <w:pStyle w:val="FootnoteText"/>
      </w:pPr>
      <w:r>
        <w:rPr>
          <w:rStyle w:val="FootnoteReference"/>
        </w:rPr>
        <w:footnoteRef/>
      </w:r>
      <w:r>
        <w:t xml:space="preserve"> </w:t>
      </w:r>
      <w:r>
        <w:t xml:space="preserve">Retfærdighed </w:t>
      </w:r>
      <w:r>
        <w:t xml:space="preserve">og grundlæggende rettigheder, Europa-Kommissionens websted </w:t>
      </w:r>
      <w:hyperlink r:id="rId4" w:history="1">
        <w:r>
          <w:rPr>
            <w:rStyle w:val="Hyperlink"/>
          </w:rPr>
          <w:t>https://ec.europa.eu/info/topics/justice-and-fundamental-rights_en</w:t>
        </w:r>
      </w:hyperlink>
      <w:r>
        <w:t xml:space="preserve"> </w:t>
      </w:r>
    </w:p>
  </w:footnote>
  <w:footnote w:id="4">
    <w:p w14:paraId="791934AC" w14:textId="77777777" w:rsidR="00FE0B0B" w:rsidRPr="00FE0B0B" w:rsidRDefault="00FE0B0B" w:rsidP="00FE0B0B">
      <w:pPr>
        <w:pStyle w:val="FootnoteText"/>
      </w:pPr>
      <w:r>
        <w:rPr>
          <w:rStyle w:val="FootnoteReference"/>
        </w:rPr>
        <w:footnoteRef/>
      </w:r>
      <w:r>
        <w:t xml:space="preserve"> </w:t>
      </w:r>
      <w:r>
        <w:t xml:space="preserve">EU-charteret, </w:t>
      </w:r>
      <w:r>
        <w:t>artikel 26</w:t>
      </w:r>
    </w:p>
  </w:footnote>
  <w:footnote w:id="5">
    <w:p w14:paraId="5706AA89" w14:textId="77777777" w:rsidR="00FE0B0B" w:rsidRPr="00456837" w:rsidRDefault="00FE0B0B" w:rsidP="00FE0B0B">
      <w:pPr>
        <w:pStyle w:val="FootnoteText"/>
      </w:pPr>
      <w:r>
        <w:rPr>
          <w:rStyle w:val="FootnoteReference"/>
        </w:rPr>
        <w:footnoteRef/>
      </w:r>
      <w:r>
        <w:t xml:space="preserve"> </w:t>
      </w:r>
      <w:r>
        <w:t xml:space="preserve">Integrering </w:t>
      </w:r>
      <w:r>
        <w:t xml:space="preserve">af grundlæggende rettigheder i EU-lovgivningsprocessen, Europa-Kommissionens websted </w:t>
      </w:r>
      <w:hyperlink r:id="rId5" w:anchor="strategy" w:history="1">
        <w:r>
          <w:rPr>
            <w:rStyle w:val="Hyperlink"/>
          </w:rPr>
          <w:t>https://ec.europa.eu/info/aid-development-cooperation-fundamental-rights/your-rights-eu/eu-charter-fundamental-rights/application-charter/incorporating-fundamental-rights-eu-legislative- process_en # strategi</w:t>
        </w:r>
      </w:hyperlink>
      <w:r>
        <w:t xml:space="preserve"> </w:t>
      </w:r>
    </w:p>
  </w:footnote>
  <w:footnote w:id="6">
    <w:p w14:paraId="35C933F2" w14:textId="77777777" w:rsidR="00FE0B0B" w:rsidRPr="00FE0B0B" w:rsidRDefault="00FE0B0B" w:rsidP="00FE0B0B">
      <w:pPr>
        <w:pStyle w:val="FootnoteText"/>
      </w:pPr>
      <w:r>
        <w:rPr>
          <w:rStyle w:val="FootnoteReference"/>
        </w:rPr>
        <w:footnoteRef/>
      </w:r>
      <w:r>
        <w:t xml:space="preserve"> </w:t>
      </w:r>
      <w:r>
        <w:t xml:space="preserve">FN-konventionen, </w:t>
      </w:r>
      <w:r>
        <w:t>artikel 11</w:t>
      </w:r>
    </w:p>
  </w:footnote>
  <w:footnote w:id="7">
    <w:p w14:paraId="631A7AA6" w14:textId="396D97CA" w:rsidR="00FE0B0B" w:rsidRPr="001839F8" w:rsidRDefault="00FE0B0B" w:rsidP="00FE0B0B">
      <w:pPr>
        <w:pStyle w:val="FootnoteText"/>
      </w:pPr>
      <w:r>
        <w:rPr>
          <w:rStyle w:val="FootnoteReference"/>
        </w:rPr>
        <w:footnoteRef/>
      </w:r>
      <w:r>
        <w:t xml:space="preserve"> </w:t>
      </w:r>
      <w:r>
        <w:t xml:space="preserve">The </w:t>
      </w:r>
      <w:r>
        <w:t xml:space="preserve">Plight of Europe’s disabled under coronavirus, Milan Šveřepa, EU Observer, 21 April 2020 </w:t>
      </w:r>
      <w:hyperlink r:id="rId6" w:history="1">
        <w:r>
          <w:rPr>
            <w:rStyle w:val="Hyperlink"/>
          </w:rPr>
          <w:t>https://euobserver.com/opinion/148118</w:t>
        </w:r>
      </w:hyperlink>
      <w:r>
        <w:t xml:space="preserve"> </w:t>
      </w:r>
    </w:p>
  </w:footnote>
  <w:footnote w:id="8">
    <w:p w14:paraId="02DA8D28" w14:textId="77777777" w:rsidR="00FE0B0B" w:rsidRPr="001839F8" w:rsidRDefault="00FE0B0B" w:rsidP="00FE0B0B">
      <w:pPr>
        <w:pStyle w:val="FootnoteText"/>
      </w:pPr>
      <w:r>
        <w:rPr>
          <w:rStyle w:val="FootnoteReference"/>
        </w:rPr>
        <w:footnoteRef/>
      </w:r>
      <w:r>
        <w:t xml:space="preserve"> </w:t>
      </w:r>
      <w:r>
        <w:t xml:space="preserve">The Plight of Europe’s disabled under coronavirus, Milan Sverepa, EU Observer, 21 April 2020 </w:t>
      </w:r>
      <w:hyperlink r:id="rId7" w:history="1">
        <w:r>
          <w:rPr>
            <w:rStyle w:val="Hyperlink"/>
          </w:rPr>
          <w:t>https://euobserver.com/opinion/148118</w:t>
        </w:r>
      </w:hyperlink>
      <w:r>
        <w:t xml:space="preserve"> </w:t>
      </w:r>
    </w:p>
  </w:footnote>
  <w:footnote w:id="9">
    <w:p w14:paraId="5ACF83A5" w14:textId="77777777" w:rsidR="009A43AB" w:rsidRPr="001839F8" w:rsidRDefault="009A43AB" w:rsidP="009A43AB">
      <w:pPr>
        <w:pStyle w:val="FootnoteText"/>
      </w:pPr>
      <w:r>
        <w:rPr>
          <w:rStyle w:val="FootnoteReference"/>
        </w:rPr>
        <w:footnoteRef/>
      </w:r>
      <w:r>
        <w:t xml:space="preserve"> </w:t>
      </w:r>
      <w:r>
        <w:t xml:space="preserve">The Plight of Europe’s disabled under coronavirus, Milan Sverepa, EU Observer, 21 April 2020 </w:t>
      </w:r>
      <w:hyperlink r:id="rId8" w:history="1">
        <w:r>
          <w:rPr>
            <w:rStyle w:val="Hyperlink"/>
          </w:rPr>
          <w:t>https://euobserver.com/opinion/148118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D473" w14:textId="77777777" w:rsidR="0090450C" w:rsidRDefault="00904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1359" w14:textId="77777777" w:rsidR="0090450C" w:rsidRDefault="0090450C" w:rsidP="0090450C">
    <w:pPr>
      <w:tabs>
        <w:tab w:val="left" w:pos="2977"/>
        <w:tab w:val="center" w:pos="4513"/>
        <w:tab w:val="right" w:pos="9026"/>
      </w:tabs>
      <w:ind w:left="708"/>
      <w:jc w:val="right"/>
      <w:rPr>
        <w:rFonts w:cstheme="minorBidi"/>
        <w:b/>
        <w:noProof/>
        <w:color w:val="ED0F69"/>
        <w:sz w:val="20"/>
        <w:lang w:val="pt-PT" w:eastAsia="pt-PT"/>
      </w:rPr>
    </w:pPr>
    <w:r>
      <w:rPr>
        <w:noProof/>
        <w:lang w:val="de-DE"/>
      </w:rPr>
      <w:drawing>
        <wp:anchor distT="0" distB="0" distL="114300" distR="114300" simplePos="0" relativeHeight="251659264" behindDoc="1" locked="0" layoutInCell="1" allowOverlap="1" wp14:anchorId="163F6014" wp14:editId="1855899A">
          <wp:simplePos x="0" y="0"/>
          <wp:positionH relativeFrom="margin">
            <wp:posOffset>-285115</wp:posOffset>
          </wp:positionH>
          <wp:positionV relativeFrom="paragraph">
            <wp:posOffset>-408305</wp:posOffset>
          </wp:positionV>
          <wp:extent cx="2145665" cy="1202690"/>
          <wp:effectExtent l="0" t="0" r="6985" b="0"/>
          <wp:wrapTight wrapText="bothSides">
            <wp:wrapPolygon edited="0">
              <wp:start x="0" y="0"/>
              <wp:lineTo x="0" y="21212"/>
              <wp:lineTo x="21479" y="21212"/>
              <wp:lineTo x="214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202690"/>
                  </a:xfrm>
                  <a:prstGeom prst="rect">
                    <a:avLst/>
                  </a:prstGeom>
                  <a:noFill/>
                </pic:spPr>
              </pic:pic>
            </a:graphicData>
          </a:graphic>
          <wp14:sizeRelH relativeFrom="margin">
            <wp14:pctWidth>0</wp14:pctWidth>
          </wp14:sizeRelH>
          <wp14:sizeRelV relativeFrom="margin">
            <wp14:pctHeight>0</wp14:pctHeight>
          </wp14:sizeRelV>
        </wp:anchor>
      </w:drawing>
    </w:r>
  </w:p>
  <w:p w14:paraId="2AD7074A" w14:textId="77777777" w:rsidR="0090450C" w:rsidRDefault="0090450C" w:rsidP="0090450C">
    <w:pPr>
      <w:tabs>
        <w:tab w:val="left" w:pos="2977"/>
      </w:tabs>
      <w:rPr>
        <w:rFonts w:cstheme="minorBidi"/>
        <w:b/>
        <w:color w:val="000000" w:themeColor="text1"/>
        <w:spacing w:val="6"/>
        <w:sz w:val="18"/>
        <w:szCs w:val="18"/>
        <w:lang w:val="en-GB"/>
      </w:rPr>
    </w:pPr>
    <w:r>
      <w:rPr>
        <w:rFonts w:cstheme="minorBidi"/>
        <w:b/>
        <w:noProof/>
        <w:color w:val="ED0F69"/>
        <w:spacing w:val="10"/>
        <w:sz w:val="18"/>
        <w:szCs w:val="18"/>
        <w:lang w:val="pt-PT" w:eastAsia="pt-PT"/>
      </w:rPr>
      <w:tab/>
    </w:r>
    <w:r>
      <w:rPr>
        <w:rFonts w:cstheme="minorBidi"/>
        <w:b/>
        <w:noProof/>
        <w:color w:val="000000" w:themeColor="text1"/>
        <w:spacing w:val="6"/>
        <w:sz w:val="18"/>
        <w:szCs w:val="18"/>
        <w:lang w:val="pt-PT" w:eastAsia="pt-PT"/>
      </w:rPr>
      <w:t>Ambitions. Rights. Belonging.</w:t>
    </w:r>
    <w:r>
      <w:rPr>
        <w:rFonts w:cstheme="minorBidi"/>
        <w:b/>
        <w:color w:val="000000" w:themeColor="text1"/>
        <w:spacing w:val="6"/>
        <w:sz w:val="18"/>
        <w:szCs w:val="18"/>
        <w:lang w:val="en-GB"/>
      </w:rPr>
      <w:t xml:space="preserve"> </w:t>
    </w:r>
  </w:p>
  <w:p w14:paraId="02E7676B" w14:textId="72B95092" w:rsidR="0090450C" w:rsidRDefault="0090450C">
    <w:pPr>
      <w:pStyle w:val="Header"/>
    </w:pPr>
  </w:p>
  <w:p w14:paraId="4A54EACC" w14:textId="36C07465" w:rsidR="0090450C" w:rsidRDefault="0090450C">
    <w:pPr>
      <w:pStyle w:val="Header"/>
    </w:pPr>
  </w:p>
  <w:p w14:paraId="103E09D5" w14:textId="77777777" w:rsidR="0090450C" w:rsidRDefault="00904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98CEB" w14:textId="77777777" w:rsidR="0090450C" w:rsidRDefault="00904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B"/>
    <w:rsid w:val="00061312"/>
    <w:rsid w:val="00141CDD"/>
    <w:rsid w:val="003712C2"/>
    <w:rsid w:val="00714865"/>
    <w:rsid w:val="008A195F"/>
    <w:rsid w:val="0090450C"/>
    <w:rsid w:val="00921EC4"/>
    <w:rsid w:val="009A43AB"/>
    <w:rsid w:val="00E55382"/>
    <w:rsid w:val="00E60F7B"/>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lang w:eastAsia="en-BE"/>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on-europe.eu/coronavirus-pandem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clusion-europe.eu/coronavirus-pandemi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DA:PDF" TargetMode="External"/><Relationship Id="rId1" Type="http://schemas.openxmlformats.org/officeDocument/2006/relationships/hyperlink" Target="https://eur-lex.europa.eu/legal-content/DA/TXT/HTML/?uri=OJ:JOL_2010_023_R_0035_01&amp;from=DA"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AE81-68FB-4864-AE7B-25F271071E79}">
  <ds:schemaRefs>
    <ds:schemaRef ds:uri="http://schemas.microsoft.com/sharepoint/v3/contenttype/forms"/>
  </ds:schemaRefs>
</ds:datastoreItem>
</file>

<file path=customXml/itemProps3.xml><?xml version="1.0" encoding="utf-8"?>
<ds:datastoreItem xmlns:ds="http://schemas.openxmlformats.org/officeDocument/2006/customXml" ds:itemID="{1C63D9A3-2A9D-4431-9A6A-2E5085457172}">
  <ds:schemaRefs>
    <ds:schemaRef ds:uri="http://schemas.microsoft.com/office/2006/metadata/properties"/>
    <ds:schemaRef ds:uri="http://schemas.microsoft.com/office/2006/documentManagement/types"/>
    <ds:schemaRef ds:uri="http://purl.org/dc/elements/1.1/"/>
    <ds:schemaRef ds:uri="eb106d1f-5234-4220-9f34-74f5cd721b8e"/>
    <ds:schemaRef ds:uri="http://schemas.microsoft.com/office/infopath/2007/PartnerControls"/>
    <ds:schemaRef ds:uri="e64a528b-f3bd-4a9a-86df-61b81d7e8287"/>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6</cp:revision>
  <dcterms:created xsi:type="dcterms:W3CDTF">2020-05-07T09:14:00Z</dcterms:created>
  <dcterms:modified xsi:type="dcterms:W3CDTF">2020-06-17T13:29:00Z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