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E8A3" w14:textId="12A7E0DC" w:rsidR="00FE0B0B" w:rsidRPr="00FE0B0B" w:rsidRDefault="00FE0B0B" w:rsidP="00FE0B0B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Petíció az értelmi fogyatékkal élő emberek és családjaik jogainak védelméért a Covid-19 szükségállapot idején. </w:t>
      </w:r>
    </w:p>
    <w:p w14:paraId="4A0E5F19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5B5FD106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7A784EAB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48E8FD72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2D4FD27C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Mivel az Európai Unió (EU) törvénybe foglalta az </w:t>
      </w:r>
      <w:r>
        <w:rPr>
          <w:rFonts w:ascii="Cambria" w:hAnsi="Cambria"/>
          <w:b/>
          <w:bCs/>
          <w:sz w:val="24"/>
          <w:szCs w:val="24"/>
        </w:rPr>
        <w:t>Egyesült Nemzetek (UN) Fogyatékkal élő személyek jogairól szóló egyezményt (CRPD)</w:t>
      </w:r>
      <w:r>
        <w:rPr>
          <w:rFonts w:ascii="Cambria" w:hAnsi="Cambria"/>
          <w:sz w:val="24"/>
          <w:szCs w:val="24"/>
        </w:rPr>
        <w:t xml:space="preserve"> és ez 2010 decemberében hatályba lépett, az EU kötelessége, hogy képességei szerint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1"/>
      </w:r>
      <w:r>
        <w:rPr>
          <w:rFonts w:ascii="Cambria" w:hAnsi="Cambria"/>
          <w:sz w:val="24"/>
          <w:szCs w:val="24"/>
        </w:rPr>
        <w:t xml:space="preserve"> és hatásköreiben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2"/>
      </w:r>
      <w:r>
        <w:rPr>
          <w:rFonts w:ascii="Cambria" w:hAnsi="Cambria"/>
          <w:sz w:val="24"/>
          <w:szCs w:val="24"/>
        </w:rPr>
        <w:t xml:space="preserve"> biztosítsa az Egyezményben foglalt jogok betartását.  </w:t>
      </w:r>
    </w:p>
    <w:p w14:paraId="6A4AB13E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  <w:lang w:val="en-US"/>
        </w:rPr>
      </w:pPr>
    </w:p>
    <w:p w14:paraId="4E7E7B54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igazságosság és az alapjogok az egyik az EU irányelveinek területei közül. Az </w:t>
      </w:r>
      <w:r>
        <w:rPr>
          <w:rStyle w:val="Strong"/>
          <w:rFonts w:ascii="Cambria" w:hAnsi="Cambria"/>
          <w:sz w:val="24"/>
          <w:szCs w:val="24"/>
        </w:rPr>
        <w:t>Európai Unió Alapjogi Chartája</w:t>
      </w:r>
      <w:r>
        <w:rPr>
          <w:rFonts w:ascii="Cambria" w:hAnsi="Cambria"/>
          <w:sz w:val="24"/>
          <w:szCs w:val="24"/>
        </w:rPr>
        <w:t xml:space="preserve"> összefoglalja az EU-ban az emberek által gyakorolt összes személyi, polgári, gazdasági és szociális jogot.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3"/>
      </w:r>
      <w:r>
        <w:rPr>
          <w:rFonts w:ascii="Cambria" w:hAnsi="Cambria"/>
          <w:sz w:val="24"/>
          <w:szCs w:val="24"/>
        </w:rPr>
        <w:t xml:space="preserve">. </w:t>
      </w:r>
    </w:p>
    <w:p w14:paraId="654E1D41" w14:textId="77777777" w:rsidR="00FE0B0B" w:rsidRPr="00B15E23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0C53B5B" w14:textId="21631ABC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 EU Charta 26. cikke kifejezetten említi a következőket:</w:t>
      </w:r>
    </w:p>
    <w:p w14:paraId="2982C563" w14:textId="77777777" w:rsidR="00FE0B0B" w:rsidRPr="00FE0B0B" w:rsidRDefault="00FE0B0B" w:rsidP="00FE0B0B">
      <w:pPr>
        <w:ind w:left="720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„Az Unió elismeri és tiszteletben tartja a fogyatékkal élő személyek jogát az önállóságuk, társadalmi és foglalkozási beilleszkedésük, valamint a közösség életében való részvételük biztosítását célzó intézkedésekre.”</w:t>
      </w:r>
      <w:r w:rsidRPr="00FE0B0B">
        <w:rPr>
          <w:rStyle w:val="FootnoteReference"/>
          <w:rFonts w:ascii="Cambria" w:hAnsi="Cambria"/>
          <w:i/>
          <w:iCs/>
          <w:sz w:val="24"/>
          <w:szCs w:val="24"/>
          <w:lang w:val="en-US"/>
        </w:rPr>
        <w:footnoteReference w:id="4"/>
      </w:r>
    </w:p>
    <w:p w14:paraId="18DB2AB4" w14:textId="77777777" w:rsidR="00FE0B0B" w:rsidRPr="00B15E23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2B020229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EU honlapján a következő található: „a charta nem biztosít általános hatalmat az Európai Bizottság számára az alapjogok területén történő beavatkozáshoz. Csak akkor avatkozhat be, ha EU törvényekről van szó (például, EU törvények átvételekor, vagy </w:t>
      </w:r>
      <w:r>
        <w:rPr>
          <w:rFonts w:ascii="Cambria" w:hAnsi="Cambria"/>
          <w:b/>
          <w:bCs/>
          <w:sz w:val="24"/>
          <w:szCs w:val="24"/>
        </w:rPr>
        <w:t>ha egy ország a chartával összeegyeztethetetlen módon alkalmaz egy EU törvényt</w:t>
      </w:r>
      <w:r>
        <w:rPr>
          <w:rFonts w:ascii="Cambria" w:hAnsi="Cambria"/>
          <w:sz w:val="24"/>
          <w:szCs w:val="24"/>
        </w:rPr>
        <w:t>)”</w:t>
      </w:r>
      <w:r w:rsidRPr="00FE0B0B">
        <w:rPr>
          <w:rStyle w:val="FootnoteReference"/>
          <w:rFonts w:ascii="Cambria" w:hAnsi="Cambria"/>
          <w:sz w:val="24"/>
          <w:szCs w:val="24"/>
          <w:lang w:val="en-US"/>
        </w:rPr>
        <w:footnoteReference w:id="5"/>
      </w:r>
      <w:r>
        <w:rPr>
          <w:rFonts w:ascii="Cambria" w:hAnsi="Cambria"/>
          <w:sz w:val="24"/>
          <w:szCs w:val="24"/>
        </w:rPr>
        <w:t xml:space="preserve">. </w:t>
      </w:r>
    </w:p>
    <w:p w14:paraId="0719BB06" w14:textId="77777777" w:rsidR="00FE0B0B" w:rsidRPr="00B15E23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1288207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Mivel jelenleg járványügyi és egészségügyi krízisen megyünk keresztül, ezért - annak ellenére, hogy a CRPD cikkei egyformán fontosak az ügyben - kifejezetten a CRPD 11. cikkére kívánunk fókuszálni, amely jelen pillanatban kiemelt jelentőséggel bír. </w:t>
      </w:r>
    </w:p>
    <w:p w14:paraId="0A110227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</w:t>
      </w:r>
      <w:r>
        <w:rPr>
          <w:rFonts w:ascii="Cambria" w:hAnsi="Cambria"/>
          <w:b/>
          <w:bCs/>
          <w:sz w:val="24"/>
          <w:szCs w:val="24"/>
        </w:rPr>
        <w:t>ENSZ CRPD 11. cikke kifejezetten foglalkozik a humanitárius szükségállapotok esetével</w:t>
      </w:r>
      <w:r>
        <w:rPr>
          <w:rFonts w:ascii="Cambria" w:hAnsi="Cambria"/>
          <w:sz w:val="24"/>
          <w:szCs w:val="24"/>
        </w:rPr>
        <w:t xml:space="preserve">: </w:t>
      </w:r>
    </w:p>
    <w:p w14:paraId="498C4575" w14:textId="77777777" w:rsidR="00FE0B0B" w:rsidRPr="00FE0B0B" w:rsidRDefault="00FE0B0B" w:rsidP="00FE0B0B">
      <w:pPr>
        <w:pStyle w:val="NormalWeb"/>
        <w:spacing w:before="0" w:beforeAutospacing="0" w:after="0" w:afterAutospacing="0"/>
        <w:ind w:left="720"/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lastRenderedPageBreak/>
        <w:t>„Nemzetközi törvényi kötelezettségeiknek megfelelően, ideértve a nemzetközi humanitárius törvényt és a nemzetközi emberi jogi törvényt, a tagállamoknak kockázatos helyezekben, például fegyveres konfliktusok, humanitárius szükségállapotok, és természeti katasztrófák, minden szükséges intézkedést meg kell tenniük a fogyatékkal élő személyek védelme és biztonsága érdekében.”</w:t>
      </w:r>
      <w:r w:rsidRPr="00FE0B0B">
        <w:rPr>
          <w:rStyle w:val="FootnoteReference"/>
          <w:rFonts w:ascii="Cambria" w:hAnsi="Cambria"/>
          <w:i/>
          <w:iCs/>
          <w:lang w:val="en-US"/>
        </w:rPr>
        <w:footnoteReference w:id="6"/>
      </w:r>
    </w:p>
    <w:p w14:paraId="538EAE89" w14:textId="77777777" w:rsidR="009A43AB" w:rsidRPr="00B15E23" w:rsidRDefault="009A43AB" w:rsidP="00FE0B0B">
      <w:pPr>
        <w:pStyle w:val="NormalWeb"/>
        <w:spacing w:before="0" w:beforeAutospacing="0" w:after="0" w:afterAutospacing="0"/>
        <w:jc w:val="both"/>
        <w:rPr>
          <w:rFonts w:ascii="Cambria" w:hAnsi="Cambria"/>
        </w:rPr>
      </w:pPr>
    </w:p>
    <w:p w14:paraId="44AE8A1B" w14:textId="77777777" w:rsidR="00FE0B0B" w:rsidRPr="00FE0B0B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>1988-óta</w:t>
      </w:r>
      <w:r>
        <w:rPr>
          <w:rFonts w:ascii="Cambria" w:hAnsi="Cambria"/>
          <w:b/>
          <w:bCs/>
          <w:sz w:val="24"/>
          <w:szCs w:val="24"/>
        </w:rPr>
        <w:t>, az Inclusion Europe képviseli az értelmi fogyatékkal élő embereket és családjaikat Európában és küzd az egyenlő jogaikért és az élet minden szintjén történő teljes bevonásukért</w:t>
      </w:r>
      <w:r>
        <w:rPr>
          <w:rFonts w:ascii="Cambria" w:hAnsi="Cambria"/>
          <w:sz w:val="24"/>
          <w:szCs w:val="24"/>
        </w:rPr>
        <w:t>.</w:t>
      </w:r>
    </w:p>
    <w:p w14:paraId="76F516A1" w14:textId="2320E219" w:rsidR="00FE0B0B" w:rsidRPr="00141CDD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Inclusion Europe jelenleg 39 európai országban 79 tagszervezettel rendelkezik. </w:t>
      </w:r>
    </w:p>
    <w:p w14:paraId="3372231D" w14:textId="77777777" w:rsidR="00FE0B0B" w:rsidRPr="00FE0B0B" w:rsidRDefault="00FE0B0B" w:rsidP="00FE0B0B">
      <w:pPr>
        <w:jc w:val="both"/>
        <w:rPr>
          <w:rFonts w:ascii="Cambria" w:hAnsi="Cambria" w:cs="Open Sans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Covid-19 szükségállapot legelejétől fogva az  Inclusion Europe aktívan tájékoztassa a tagjait és tájékoztatást nyújtott </w:t>
      </w:r>
      <w:hyperlink r:id="rId9" w:anchor="1584977061628-16fcec00-a699" w:history="1">
        <w:r>
          <w:rPr>
            <w:rStyle w:val="Hyperlink"/>
            <w:rFonts w:ascii="Cambria" w:hAnsi="Cambria"/>
            <w:sz w:val="24"/>
            <w:szCs w:val="24"/>
          </w:rPr>
          <w:t>Könnyen olvasható</w:t>
        </w:r>
      </w:hyperlink>
      <w:r>
        <w:rPr>
          <w:rFonts w:ascii="Cambria" w:hAnsi="Cambria"/>
          <w:sz w:val="24"/>
          <w:szCs w:val="24"/>
        </w:rPr>
        <w:t xml:space="preserve"> formátumban valamint </w:t>
      </w:r>
      <w:hyperlink r:id="rId10" w:anchor="1584977115025-1ebd5d7f-b126" w:history="1">
        <w:r>
          <w:rPr>
            <w:rStyle w:val="Hyperlink"/>
            <w:rFonts w:ascii="Cambria" w:hAnsi="Cambria"/>
            <w:sz w:val="24"/>
            <w:szCs w:val="24"/>
          </w:rPr>
          <w:t>információkat gyűjtött</w:t>
        </w:r>
      </w:hyperlink>
      <w:r>
        <w:rPr>
          <w:rFonts w:ascii="Cambria" w:hAnsi="Cambria"/>
          <w:sz w:val="24"/>
          <w:szCs w:val="24"/>
        </w:rPr>
        <w:t xml:space="preserve"> tagjaitól arra vonatkozóan, hogy mi történik az adott tagállamban. </w:t>
      </w:r>
    </w:p>
    <w:p w14:paraId="3CB9D67E" w14:textId="77777777" w:rsidR="00FE0B0B" w:rsidRPr="00B15E23" w:rsidRDefault="00FE0B0B" w:rsidP="00FE0B0B">
      <w:pPr>
        <w:jc w:val="both"/>
        <w:rPr>
          <w:rFonts w:ascii="Cambria" w:hAnsi="Cambria" w:cs="Open Sans"/>
          <w:sz w:val="24"/>
          <w:szCs w:val="24"/>
        </w:rPr>
      </w:pPr>
    </w:p>
    <w:p w14:paraId="40667A23" w14:textId="6C7A8E67" w:rsidR="00FE0B0B" w:rsidRPr="009A43AB" w:rsidRDefault="00FE0B0B" w:rsidP="00FE0B0B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Fel kívánjuk hívni a Bizottság figyelmét arra a számos esetre, amikor a nemzeti törvények nem kompatibilisek az ENSZ CRPD-vel, vagy az Európai Unió Alapjogi Chartájával és kérjük, hogy tegyen lépéseket az értelmi fogyatékkal élő emberek és családjaik védelme érdekében. </w:t>
      </w:r>
    </w:p>
    <w:p w14:paraId="5F22D760" w14:textId="77777777" w:rsidR="00FE0B0B" w:rsidRPr="00B15E23" w:rsidRDefault="00FE0B0B" w:rsidP="00FE0B0B">
      <w:pPr>
        <w:jc w:val="both"/>
        <w:rPr>
          <w:rFonts w:ascii="Cambria" w:hAnsi="Cambria" w:cs="Open Sans"/>
          <w:b/>
          <w:bCs/>
          <w:sz w:val="24"/>
          <w:szCs w:val="24"/>
        </w:rPr>
      </w:pPr>
    </w:p>
    <w:p w14:paraId="56AD7516" w14:textId="77777777" w:rsidR="00FE0B0B" w:rsidRPr="00B15E23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p w14:paraId="5771A675" w14:textId="77777777" w:rsidR="00FE0B0B" w:rsidRPr="00FE0B0B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Az általunk néhány országban tapasztalt helyzet: </w:t>
      </w:r>
    </w:p>
    <w:p w14:paraId="3E0BABB3" w14:textId="77777777" w:rsidR="00FE0B0B" w:rsidRPr="00B15E23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60C6B9A8" w14:textId="77777777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Covid 19 fertőzött értelmi fogyatékkal élő emberek</w:t>
      </w:r>
    </w:p>
    <w:p w14:paraId="42CD54BF" w14:textId="7455C94D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Olyan emberek, akik állapotuk miatt nem kapnak orvosi kezelést, mivel „nehezen kezelhetők”; </w:t>
      </w:r>
    </w:p>
    <w:p w14:paraId="5A3900BF" w14:textId="77777777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Kommunikáció: nem tudják megérteni a történéseket, magas szintű stressz és szorongás, és nincs lehetőség olyan segítő személy biztosítására, aki elmagyarázza hogy mi történik; </w:t>
      </w:r>
    </w:p>
    <w:p w14:paraId="57DE85AA" w14:textId="69D280E1" w:rsid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Igen sokkoló egészségügyi prioritás irányelvek a kórházakban, azzal az egyértelmű céllal, hogy ne lássák el a fogyatékkal élőket, mivel nekik kisebb az esélyük a gyógyulásra és az ő életük „nem ér annyit”</w:t>
      </w:r>
    </w:p>
    <w:p w14:paraId="4BA72582" w14:textId="5028474C" w:rsid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Hozzáférés az egészségügyi ellátáshoz, ami a válság előtt napi szinten megoldott volt</w:t>
      </w:r>
    </w:p>
    <w:p w14:paraId="78636765" w14:textId="56F7B2D9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emberek nem kapnak semmilyen támogatást, mint azt a Fogyatékkal Élők Nemzetközi Szövetsége megállapította, „a fogyatékkal élő emberek nem csupán a koronavírus miatt halnak meg, azért halnak meg mert a társadalmi-gazdasági támogatás hiánya miatt nem kapnak segítséget”. </w:t>
      </w:r>
    </w:p>
    <w:p w14:paraId="0EBAA247" w14:textId="5571FE54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gyermekek nem részesülnek oktatásban, mivel az iskolák nem tudnak kommunikálni velük és a családok magukra vannak hagyva mindenben, az élelmezéstől az oktatásig</w:t>
      </w:r>
    </w:p>
    <w:p w14:paraId="28F03744" w14:textId="77777777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Mivel egész Európában az oktatási helyzet már a válság előtt is nehezen volt befogadónak nevezhető és az oktatás nagyon szegregált... most a válság idejét a helyzet egész Európában katasztrofális. A gyermekeknek nincsenek segítőik, mivel számos EU országban a segítőket nem minősítik „létfontosságú munkának”. </w:t>
      </w:r>
    </w:p>
    <w:p w14:paraId="2284EB65" w14:textId="77777777" w:rsidR="00FE0B0B" w:rsidRPr="00FE0B0B" w:rsidRDefault="00FE0B0B" w:rsidP="00FE0B0B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Nem lehetséges elérni a rokonokat és barátokat és normál, emberi beszélgetést folytatni?</w:t>
      </w:r>
    </w:p>
    <w:p w14:paraId="6047444D" w14:textId="57570C77" w:rsid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Az úgynevezett „otthonokban” / intézményekben lakó embereket bezárják. Ez azt jelenti, hogy a családjaik nem látogathatják meg őket és mivel ezekben az intézményekben nincsenek proaktív anyagok, ezek a személyek magas fertőzési kockázatnak vannak kitéve. </w:t>
      </w:r>
    </w:p>
    <w:p w14:paraId="418604C7" w14:textId="09E02BC4" w:rsidR="00FE0B0B" w:rsidRPr="00FE0B0B" w:rsidRDefault="00FE0B0B" w:rsidP="00FE0B0B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Ez valós megvilágításba helyezi a nagy bentlakásos „gondozó” intézeteket: ezek kockázatok és problémák melegágyai, nem olyan „biztonságos helyek” amiknek mutatják magukat.</w:t>
      </w:r>
      <w:r>
        <w:rPr>
          <w:rStyle w:val="FootnoteReference"/>
          <w:rFonts w:ascii="Cambria" w:hAnsi="Cambria"/>
          <w:sz w:val="24"/>
          <w:szCs w:val="24"/>
        </w:rPr>
        <w:t xml:space="preserve"> 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7"/>
      </w:r>
    </w:p>
    <w:p w14:paraId="29142A2C" w14:textId="77777777" w:rsidR="00FE0B0B" w:rsidRPr="00B15E23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05A2988E" w14:textId="77777777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helyzet </w:t>
      </w:r>
      <w:r>
        <w:rPr>
          <w:rFonts w:ascii="Cambria" w:hAnsi="Cambria"/>
          <w:b/>
          <w:bCs/>
          <w:sz w:val="24"/>
          <w:szCs w:val="24"/>
        </w:rPr>
        <w:t>tele van ellentétekkel</w:t>
      </w:r>
      <w:r>
        <w:rPr>
          <w:rFonts w:ascii="Cambria" w:hAnsi="Cambria"/>
          <w:sz w:val="24"/>
          <w:szCs w:val="24"/>
        </w:rPr>
        <w:t xml:space="preserve">, mivel az intézményekben élők vissza akarnak menni a családjaikhoz, de ez számukra tilos, ugyan akkor akik családjaiknál „ragadtak” mindennél jobban vágynak a függetlenségre! </w:t>
      </w:r>
    </w:p>
    <w:p w14:paraId="49C32666" w14:textId="77777777" w:rsidR="00FE0B0B" w:rsidRPr="00B15E23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5EA4F457" w14:textId="50DCE14B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koronavírus és a lezárások lerántják a leplet az értelmi fogyatékkal élő emberek </w:t>
      </w:r>
      <w:r>
        <w:rPr>
          <w:rFonts w:ascii="Cambria" w:hAnsi="Cambria"/>
          <w:b/>
          <w:bCs/>
          <w:sz w:val="24"/>
          <w:szCs w:val="24"/>
        </w:rPr>
        <w:t>aktuális szegregációjáról és diszkriminálásáról</w:t>
      </w:r>
      <w:r>
        <w:rPr>
          <w:rFonts w:ascii="Cambria" w:hAnsi="Cambria"/>
          <w:sz w:val="24"/>
          <w:szCs w:val="24"/>
        </w:rPr>
        <w:t>, különösen ami az egészségügyhöz való hozzáférést illeti.</w:t>
      </w:r>
    </w:p>
    <w:p w14:paraId="793E8CE9" w14:textId="700B7155" w:rsidR="00FE0B0B" w:rsidRPr="00FE0B0B" w:rsidRDefault="00FE0B0B" w:rsidP="00FE0B0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Amit a koronavírus Európa-szerte az ilyen emberek millióival tesz, az lerontja a mindennapi élet minőségét.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8"/>
      </w:r>
    </w:p>
    <w:p w14:paraId="6FB0C8A4" w14:textId="77777777" w:rsidR="00FE0B0B" w:rsidRPr="00B15E23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6C0E4179" w14:textId="77777777" w:rsidR="00FE0B0B" w:rsidRPr="00B15E23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79F2AF92" w14:textId="77777777" w:rsidR="00FE0B0B" w:rsidRPr="00FE0B0B" w:rsidRDefault="00FE0B0B" w:rsidP="00FE0B0B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Konkrét intézkedések, amelyeket az EU a szellemi fogyatékkal élők védelmében tehet</w:t>
      </w:r>
    </w:p>
    <w:p w14:paraId="6E46748A" w14:textId="77777777" w:rsidR="00FE0B0B" w:rsidRPr="00B15E23" w:rsidRDefault="00FE0B0B" w:rsidP="00FE0B0B">
      <w:pPr>
        <w:jc w:val="both"/>
        <w:rPr>
          <w:rFonts w:ascii="Cambria" w:hAnsi="Cambria"/>
          <w:sz w:val="24"/>
          <w:szCs w:val="24"/>
        </w:rPr>
      </w:pPr>
    </w:p>
    <w:p w14:paraId="2DC7C5A5" w14:textId="0E6F1A77" w:rsidR="00FE0B0B" w:rsidRDefault="00FE0B0B" w:rsidP="00FE0B0B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azonnali egészségügyi reakció érdekében biztosítani kell, hogy az kompatibilis legyen mind az EU Chartával, mind a CRPD-vel, szem előtt tartva, hogy minden élet egyenlően fontos, és harmadik személy nem ítélheti meg, hogy egy személy élete fontosabb-e vagy sem. </w:t>
      </w:r>
    </w:p>
    <w:p w14:paraId="70E0B8A2" w14:textId="77777777" w:rsidR="00FE0B0B" w:rsidRPr="00B15E23" w:rsidRDefault="00FE0B0B" w:rsidP="00FE0B0B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</w:p>
    <w:p w14:paraId="1FF1BFC1" w14:textId="42B9170E" w:rsidR="00FE0B0B" w:rsidRPr="00FE0B0B" w:rsidRDefault="009A43AB" w:rsidP="003712C2">
      <w:pPr>
        <w:tabs>
          <w:tab w:val="left" w:pos="127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„A koronavírus miatti lezárások feloldásának realisztikus kilátása nem hoz enyhülést az értelmi fogyatékkal élők számára, ez csak egy hosszú káros és szenvedéssel teli időszak szimbolikus kezdete, távol a média figyelmétől.</w:t>
      </w:r>
    </w:p>
    <w:p w14:paraId="76D2A78A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Ha minden visszatér pandémia előtti normál állapotba, a fogyatékkal élők szegregációja a közösségekben és az iskolákban nem szűnik meg; továbbra is a családoknak kell a legtöbb gondoskodást és támogatás biztosítaniuk és meg kell küzdeniük minden centiméter előrelépésért és elismerésért; valamint az értelmi fogyatékkal élők továbbra sem fognak hozzájutni normál egészségügyi ellátáshoz.</w:t>
      </w:r>
    </w:p>
    <w:p w14:paraId="0A7252E5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Akár milyen kellemetlenül is hangzik, még mindig jobb annál, mint amitől a legjobban tartanunk kell: a pénzügyi visszapattanás és a szolgáltatások visszavágása. </w:t>
      </w:r>
    </w:p>
    <w:p w14:paraId="5EE2D51C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Láttuk a 2009-es pénzügyi válság halálos hatásait – megszűntetett szolgáltatások, visszavágott fogyatékossági és szociális juttatások, tömeges munkanélküliség és végül az emberek jólétét és életminőségét rontó hatások.</w:t>
      </w:r>
    </w:p>
    <w:p w14:paraId="3F167CAC" w14:textId="0D5F7C2D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[Az ilyen tragédiák elkerüléséhez kritikus fontosságú hogy] a nemzeti és az EU hatóságok biztosítsák, hogy a milliárdos koronavírus utáni gazdaságélénkítő eszközök első helyen a fogyatékkal élőket és más „sebezhető” csoportokat célozzanak meg. </w:t>
      </w:r>
    </w:p>
    <w:p w14:paraId="5CB9A2BB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Ez idáig a jelek nem bíztatók, és a kommunikáció a vállalatokkal és a foglalkoztatással, az EU kohéziós pénzek korona intézkedésekre történő felhasználásának szükségességével foglalkozik. </w:t>
      </w:r>
    </w:p>
    <w:p w14:paraId="58A4CE60" w14:textId="0CB242EB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A vállalatok és a foglalkoztatás fontos, de ez még nem minden. A kohéziós alapoktól elvett pénz később hiányozni fog. Mint arra sokat jogosan rámutattak a tengeren túl, a leszivárogtató gazdaság nem működik.</w:t>
      </w:r>
    </w:p>
    <w:p w14:paraId="458E2F09" w14:textId="683EEAA7" w:rsidR="009A43AB" w:rsidRPr="00E55382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14:paraId="7AAF5744" w14:textId="77777777" w:rsidR="009A43AB" w:rsidRPr="009A43AB" w:rsidRDefault="009A43AB" w:rsidP="003712C2">
      <w:pPr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Arra van szükség, hogy </w:t>
      </w:r>
      <w:r>
        <w:rPr>
          <w:rFonts w:ascii="Cambria" w:hAnsi="Cambria"/>
          <w:b/>
          <w:bCs/>
          <w:sz w:val="24"/>
          <w:szCs w:val="24"/>
        </w:rPr>
        <w:t>a fogyatékossághoz kapcsolódó szolgáltatások visszakapják a normál prioritásukat és a „lezárás feloldása” után az elsőként legyenek elérhetők</w:t>
      </w:r>
      <w:r>
        <w:rPr>
          <w:rFonts w:ascii="Cambria" w:hAnsi="Cambria"/>
          <w:sz w:val="24"/>
          <w:szCs w:val="24"/>
        </w:rPr>
        <w:t xml:space="preserve">.” </w:t>
      </w:r>
    </w:p>
    <w:p w14:paraId="0D33EF23" w14:textId="2185C784" w:rsidR="009A43AB" w:rsidRPr="009A43AB" w:rsidRDefault="009A43AB" w:rsidP="003712C2">
      <w:pPr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Arra van szükség, hogy a </w:t>
      </w:r>
      <w:r>
        <w:rPr>
          <w:rFonts w:ascii="Cambria" w:hAnsi="Cambria"/>
          <w:b/>
          <w:bCs/>
          <w:sz w:val="24"/>
          <w:szCs w:val="24"/>
        </w:rPr>
        <w:t>koronavírus utáni pénzügyi intézkedések ne csupán elérjék a szellemi fogyatékosokat és családjaikat, hanem őket sorolják előre</w:t>
      </w:r>
      <w:r>
        <w:rPr>
          <w:rFonts w:ascii="Cambria" w:hAnsi="Cambria"/>
          <w:sz w:val="24"/>
          <w:szCs w:val="24"/>
        </w:rPr>
        <w:t>.“</w:t>
      </w:r>
      <w:r w:rsidRPr="00FE0B0B">
        <w:rPr>
          <w:rStyle w:val="FootnoteReference"/>
          <w:rFonts w:ascii="Cambria" w:hAnsi="Cambria"/>
          <w:sz w:val="24"/>
          <w:szCs w:val="24"/>
        </w:rPr>
        <w:footnoteReference w:id="9"/>
      </w:r>
    </w:p>
    <w:p w14:paraId="4ACFD956" w14:textId="77777777" w:rsidR="00E60F7B" w:rsidRPr="00FE0B0B" w:rsidRDefault="00E60F7B">
      <w:pPr>
        <w:rPr>
          <w:rFonts w:ascii="Cambria" w:hAnsi="Cambria"/>
          <w:sz w:val="24"/>
          <w:szCs w:val="24"/>
        </w:rPr>
      </w:pPr>
    </w:p>
    <w:sectPr w:rsidR="00E60F7B" w:rsidRPr="00FE0B0B" w:rsidSect="00B15E23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C35C" w14:textId="77777777" w:rsidR="004E112D" w:rsidRDefault="004E112D" w:rsidP="00FE0B0B">
      <w:r>
        <w:separator/>
      </w:r>
    </w:p>
  </w:endnote>
  <w:endnote w:type="continuationSeparator" w:id="0">
    <w:p w14:paraId="3FE2F30A" w14:textId="77777777" w:rsidR="004E112D" w:rsidRDefault="004E112D" w:rsidP="00FE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1112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FFC084" w14:textId="51816C24" w:rsidR="003712C2" w:rsidRDefault="0037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0907D4" w14:textId="77777777" w:rsidR="003712C2" w:rsidRDefault="003712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0AA38" w14:textId="77777777" w:rsidR="000E3EFF" w:rsidRDefault="000E3EFF" w:rsidP="000E3EFF">
    <w:pPr>
      <w:spacing w:before="60"/>
      <w:rPr>
        <w:rFonts w:ascii="Open Sans" w:hAnsi="Open Sans" w:cs="Open Sans"/>
        <w:b/>
        <w:noProof/>
        <w:sz w:val="16"/>
        <w:szCs w:val="16"/>
        <w:lang w:val="en-GB"/>
      </w:rPr>
    </w:pPr>
  </w:p>
  <w:p w14:paraId="5A8E9254" w14:textId="77777777" w:rsidR="000E3EFF" w:rsidRDefault="000E3EFF" w:rsidP="000E3EFF">
    <w:pPr>
      <w:spacing w:before="60"/>
      <w:rPr>
        <w:rFonts w:ascii="Open Sans" w:hAnsi="Open Sans" w:cs="Open Sans"/>
        <w:b/>
        <w:noProof/>
        <w:sz w:val="16"/>
        <w:szCs w:val="16"/>
        <w:lang w:val="en-GB"/>
      </w:rPr>
    </w:pPr>
  </w:p>
  <w:p w14:paraId="71DC0DC0" w14:textId="26DF2B58" w:rsidR="000E3EFF" w:rsidRPr="009611F4" w:rsidRDefault="000E3EFF" w:rsidP="000E3EFF">
    <w:pPr>
      <w:spacing w:before="60"/>
      <w:rPr>
        <w:rFonts w:ascii="Open Sans" w:hAnsi="Open Sans" w:cs="Open Sans"/>
        <w:noProof/>
        <w:sz w:val="6"/>
        <w:szCs w:val="16"/>
        <w:lang w:val="en-GB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AC49B7F" wp14:editId="438E3B51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1F4">
      <w:rPr>
        <w:rFonts w:ascii="Open Sans" w:hAnsi="Open Sans" w:cs="Open Sans"/>
        <w:b/>
        <w:noProof/>
        <w:sz w:val="16"/>
        <w:szCs w:val="16"/>
        <w:lang w:val="en-GB"/>
      </w:rPr>
      <w:t>Inclusion Europe</w:t>
    </w:r>
    <w:r w:rsidRPr="009611F4">
      <w:rPr>
        <w:rFonts w:ascii="Open Sans" w:hAnsi="Open Sans" w:cs="Open Sans"/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rFonts w:ascii="Open Sans" w:hAnsi="Open Sans" w:cs="Open Sans"/>
        <w:noProof/>
        <w:sz w:val="16"/>
        <w:szCs w:val="16"/>
        <w:lang w:val="en-GB"/>
      </w:rPr>
      <w:tab/>
    </w:r>
    <w:r w:rsidRPr="009611F4">
      <w:rPr>
        <w:rFonts w:ascii="Open Sans" w:hAnsi="Open Sans" w:cs="Open Sans"/>
        <w:noProof/>
        <w:sz w:val="1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  <w:r w:rsidRPr="009611F4">
      <w:rPr>
        <w:rFonts w:ascii="Open Sans" w:hAnsi="Open Sans" w:cs="Open Sans"/>
        <w:noProof/>
        <w:sz w:val="6"/>
        <w:szCs w:val="16"/>
        <w:lang w:val="en-GB"/>
      </w:rPr>
      <w:tab/>
    </w:r>
  </w:p>
  <w:p w14:paraId="2208657B" w14:textId="77777777" w:rsidR="000E3EFF" w:rsidRPr="004E3EB9" w:rsidRDefault="000E3EFF" w:rsidP="000E3EFF">
    <w:pPr>
      <w:tabs>
        <w:tab w:val="right" w:pos="8647"/>
      </w:tabs>
      <w:spacing w:before="60"/>
      <w:rPr>
        <w:rFonts w:ascii="Open Sans" w:hAnsi="Open Sans" w:cs="Open Sans"/>
        <w:noProof/>
        <w:sz w:val="6"/>
        <w:szCs w:val="16"/>
        <w:lang w:val="en-GB"/>
      </w:rPr>
    </w:pPr>
    <w:r w:rsidRPr="00682797">
      <w:rPr>
        <w:rFonts w:ascii="Open Sans" w:hAnsi="Open Sans" w:cs="Open Sans"/>
        <w:noProof/>
        <w:sz w:val="14"/>
        <w:szCs w:val="14"/>
        <w:lang w:val="en-GB"/>
      </w:rPr>
      <w:t>Avenue des Arts 3, 1210</w:t>
    </w:r>
    <w:r w:rsidRPr="008E0893">
      <w:rPr>
        <w:rFonts w:ascii="Open Sans" w:hAnsi="Open Sans" w:cs="Open Sans"/>
        <w:noProof/>
        <w:sz w:val="14"/>
        <w:szCs w:val="14"/>
        <w:lang w:val="en-GB"/>
      </w:rPr>
      <w:t xml:space="preserve"> Brussels, Belgium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br/>
      <w:t xml:space="preserve">+32 25 02 28 15 </w:t>
    </w:r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Co-funded by</w:t>
    </w:r>
    <w:r>
      <w:rPr>
        <w:rFonts w:ascii="Open Sans" w:hAnsi="Open Sans" w:cs="Open Sans"/>
        <w:noProof/>
        <w:sz w:val="14"/>
        <w:szCs w:val="14"/>
        <w:lang w:val="en-GB"/>
      </w:rPr>
      <w:br/>
    </w:r>
    <w:hyperlink r:id="rId2" w:history="1">
      <w:r w:rsidRPr="00770499">
        <w:rPr>
          <w:rFonts w:ascii="Open Sans" w:hAnsi="Open Sans" w:cs="Open Sans"/>
          <w:sz w:val="14"/>
          <w:szCs w:val="14"/>
          <w:lang w:val="en-GB"/>
        </w:rPr>
        <w:t>secretariat@inclusion-europe.org</w:t>
      </w:r>
    </w:hyperlink>
    <w:r w:rsidRPr="008E0893">
      <w:rPr>
        <w:rFonts w:ascii="Open Sans" w:hAnsi="Open Sans" w:cs="Open Sans"/>
        <w:noProof/>
        <w:sz w:val="14"/>
        <w:szCs w:val="14"/>
        <w:lang w:val="en-GB"/>
      </w:rPr>
      <w:t xml:space="preserve"> 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  <w:t>the European Union</w:t>
    </w:r>
    <w:r w:rsidRPr="008E0893">
      <w:rPr>
        <w:rFonts w:ascii="Open Sans" w:hAnsi="Open Sans" w:cs="Open Sans"/>
        <w:noProof/>
        <w:sz w:val="14"/>
        <w:szCs w:val="14"/>
        <w:lang w:val="en-GB"/>
      </w:rPr>
      <w:br/>
    </w:r>
  </w:p>
  <w:p w14:paraId="3729D45C" w14:textId="188E8865" w:rsidR="000E3EFF" w:rsidRPr="008E0893" w:rsidRDefault="000E3EFF" w:rsidP="000E3EFF">
    <w:pPr>
      <w:tabs>
        <w:tab w:val="left" w:pos="284"/>
        <w:tab w:val="left" w:pos="2552"/>
        <w:tab w:val="left" w:pos="4678"/>
        <w:tab w:val="right" w:pos="8647"/>
      </w:tabs>
      <w:spacing w:before="60"/>
      <w:rPr>
        <w:rFonts w:ascii="Open Sans" w:hAnsi="Open Sans" w:cs="Open Sans"/>
        <w:noProof/>
        <w:sz w:val="14"/>
        <w:szCs w:val="14"/>
        <w:lang w:val="en-GB"/>
      </w:rPr>
    </w:pPr>
    <w:r w:rsidRPr="008E0893">
      <w:rPr>
        <w:rFonts w:ascii="Open Sans" w:hAnsi="Open Sans" w:cs="Open Sans"/>
        <w:noProof/>
        <w:sz w:val="14"/>
        <w:szCs w:val="14"/>
        <w:lang w:val="en-GB"/>
      </w:rPr>
      <w:drawing>
        <wp:anchor distT="0" distB="0" distL="114300" distR="114300" simplePos="0" relativeHeight="251661312" behindDoc="0" locked="0" layoutInCell="1" allowOverlap="1" wp14:anchorId="1B68BC78" wp14:editId="1F9610E5">
          <wp:simplePos x="0" y="0"/>
          <wp:positionH relativeFrom="page">
            <wp:posOffset>3740785</wp:posOffset>
          </wp:positionH>
          <wp:positionV relativeFrom="paragraph">
            <wp:posOffset>45085</wp:posOffset>
          </wp:positionV>
          <wp:extent cx="97155" cy="97155"/>
          <wp:effectExtent l="0" t="0" r="0" b="0"/>
          <wp:wrapNone/>
          <wp:docPr id="4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rFonts w:ascii="Open Sans" w:hAnsi="Open Sans" w:cs="Open Sans"/>
        <w:noProof/>
        <w:sz w:val="14"/>
        <w:szCs w:val="14"/>
        <w:lang w:val="en-GB"/>
      </w:rPr>
      <w:drawing>
        <wp:anchor distT="0" distB="0" distL="114300" distR="114300" simplePos="0" relativeHeight="251662336" behindDoc="0" locked="0" layoutInCell="1" allowOverlap="1" wp14:anchorId="428666A5" wp14:editId="326B072D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893">
      <w:rPr>
        <w:rFonts w:ascii="Open Sans" w:hAnsi="Open Sans" w:cs="Open Sans"/>
        <w:noProof/>
        <w:sz w:val="14"/>
        <w:szCs w:val="14"/>
        <w:lang w:val="en-GB"/>
      </w:rPr>
      <w:drawing>
        <wp:anchor distT="0" distB="0" distL="114300" distR="114300" simplePos="0" relativeHeight="251660288" behindDoc="0" locked="0" layoutInCell="1" allowOverlap="1" wp14:anchorId="1F02F58B" wp14:editId="4F9285F9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 w:rsidRPr="008E0893">
        <w:rPr>
          <w:rFonts w:ascii="Open Sans" w:hAnsi="Open Sans" w:cs="Open Sans"/>
          <w:noProof/>
          <w:sz w:val="14"/>
          <w:szCs w:val="14"/>
          <w:lang w:val="en-GB"/>
        </w:rPr>
        <w:t>www.inclusion-europe.eu</w:t>
      </w:r>
    </w:hyperlink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@InclusionEurope</w:t>
    </w:r>
    <w:r>
      <w:rPr>
        <w:rFonts w:ascii="Open Sans" w:hAnsi="Open Sans" w:cs="Open Sans"/>
        <w:noProof/>
        <w:sz w:val="14"/>
        <w:szCs w:val="14"/>
        <w:lang w:val="en-GB"/>
      </w:rPr>
      <w:tab/>
    </w:r>
    <w:r w:rsidRPr="008E0893">
      <w:rPr>
        <w:rFonts w:ascii="Open Sans" w:hAnsi="Open Sans" w:cs="Open Sans"/>
        <w:noProof/>
        <w:sz w:val="14"/>
        <w:szCs w:val="14"/>
        <w:lang w:val="en-GB"/>
      </w:rPr>
      <w:t>@InclusionEurope</w:t>
    </w:r>
    <w:r w:rsidRPr="008E0893">
      <w:rPr>
        <w:rFonts w:ascii="Open Sans" w:hAnsi="Open Sans" w:cs="Open Sans"/>
        <w:noProof/>
        <w:sz w:val="14"/>
        <w:szCs w:val="14"/>
        <w:lang w:val="en-GB"/>
      </w:rPr>
      <w:tab/>
    </w:r>
    <w:r>
      <w:rPr>
        <w:rFonts w:ascii="Open Sans" w:hAnsi="Open Sans" w:cs="Open Sans"/>
        <w:noProof/>
        <w:sz w:val="14"/>
        <w:szCs w:val="14"/>
        <w:lang w:val="en-GB"/>
      </w:rPr>
      <w:t>y</w:t>
    </w:r>
    <w:r w:rsidRPr="008E0893">
      <w:rPr>
        <w:rFonts w:ascii="Open Sans" w:hAnsi="Open Sans" w:cs="Open Sans"/>
        <w:noProof/>
        <w:sz w:val="14"/>
        <w:szCs w:val="14"/>
        <w:lang w:val="en-GB"/>
      </w:rPr>
      <w:t>outube.com/InclusionEurope</w:t>
    </w:r>
  </w:p>
  <w:p w14:paraId="12CB045D" w14:textId="77777777" w:rsidR="00B15E23" w:rsidRPr="000E3EFF" w:rsidRDefault="00B15E2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D03AC" w14:textId="77777777" w:rsidR="004E112D" w:rsidRDefault="004E112D" w:rsidP="00FE0B0B">
      <w:r>
        <w:separator/>
      </w:r>
    </w:p>
  </w:footnote>
  <w:footnote w:type="continuationSeparator" w:id="0">
    <w:p w14:paraId="3230B1CE" w14:textId="77777777" w:rsidR="004E112D" w:rsidRDefault="004E112D" w:rsidP="00FE0B0B">
      <w:r>
        <w:continuationSeparator/>
      </w:r>
    </w:p>
  </w:footnote>
  <w:footnote w:id="1">
    <w:p w14:paraId="3491C3D3" w14:textId="77777777" w:rsidR="00FE0B0B" w:rsidRPr="00C2341A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2010/48/ EK Bizottsági Rendelet </w:t>
      </w:r>
      <w:hyperlink r:id="rId1" w:history="1">
        <w:r>
          <w:rPr>
            <w:rStyle w:val="Hyperlink"/>
          </w:rPr>
          <w:t>https://eur-lex.europa.eu/legal-content/EN/TXT/?uri=uriserv:OJ.L_.2010.023.01.0035.01.ENG</w:t>
        </w:r>
      </w:hyperlink>
      <w:r>
        <w:t xml:space="preserve"> és 2010/C 340/08 Magatartási Kódex </w:t>
      </w:r>
      <w:hyperlink r:id="rId2" w:history="1">
        <w:r>
          <w:rPr>
            <w:rStyle w:val="Hyperlink"/>
          </w:rPr>
          <w:t>https://eur-lex.europa.eu/LexUriServ/LexUriServ.do?uri=OJ:C:2010:340:0011:0015:EN:PDF</w:t>
        </w:r>
      </w:hyperlink>
      <w:r>
        <w:t xml:space="preserve"> </w:t>
      </w:r>
    </w:p>
  </w:footnote>
  <w:footnote w:id="2">
    <w:p w14:paraId="57124A18" w14:textId="77777777" w:rsidR="00FE0B0B" w:rsidRPr="00456837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Az EU elfogadta az egyezményt. Mit jelent ez, An-Sofie Leenknecht, Fogyatékkal Élők Európai Fóruma </w:t>
      </w:r>
      <w:hyperlink r:id="rId3" w:history="1">
        <w:r>
          <w:rPr>
            <w:rStyle w:val="Hyperlink"/>
          </w:rPr>
          <w:t>http://www.edf-feph.org/eu-has-ratified-convention-what-does-mean</w:t>
        </w:r>
      </w:hyperlink>
      <w:r>
        <w:t xml:space="preserve"> </w:t>
      </w:r>
    </w:p>
  </w:footnote>
  <w:footnote w:id="3">
    <w:p w14:paraId="73B16FC1" w14:textId="77777777" w:rsidR="00FE0B0B" w:rsidRPr="00C2341A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Igazságosság és alapjogok, az Európai Bizottság honlapja </w:t>
      </w:r>
      <w:hyperlink r:id="rId4" w:history="1">
        <w:r>
          <w:rPr>
            <w:rStyle w:val="Hyperlink"/>
          </w:rPr>
          <w:t>https://ec.europa.eu/info/topics/justice-and-fundamental-rights_en</w:t>
        </w:r>
      </w:hyperlink>
      <w:r>
        <w:t xml:space="preserve"> </w:t>
      </w:r>
    </w:p>
  </w:footnote>
  <w:footnote w:id="4">
    <w:p w14:paraId="791934AC" w14:textId="77777777" w:rsidR="00FE0B0B" w:rsidRPr="00FE0B0B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EU Charta, 26. cikk</w:t>
      </w:r>
    </w:p>
  </w:footnote>
  <w:footnote w:id="5">
    <w:p w14:paraId="5706AA89" w14:textId="77777777" w:rsidR="00FE0B0B" w:rsidRPr="00456837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Alapjogok beépítése az EU törvényhozási eljárásába, Európai Bizottság honlapja </w:t>
      </w:r>
      <w:hyperlink r:id="rId5" w:anchor="strategy" w:history="1">
        <w:r>
          <w:rPr>
            <w:rStyle w:val="Hyperlink"/>
          </w:rPr>
          <w:t>https://ec.europa.eu/info/aid-development-cooperation-fundamental-rights/your-rights-eu/eu-charter-fundamental-rights/application-charter/incorporating-fundamental-rights-eu-legislative-process_en#strategy</w:t>
        </w:r>
      </w:hyperlink>
      <w:r>
        <w:t xml:space="preserve"> </w:t>
      </w:r>
    </w:p>
  </w:footnote>
  <w:footnote w:id="6">
    <w:p w14:paraId="35C933F2" w14:textId="77777777" w:rsidR="00FE0B0B" w:rsidRPr="00FE0B0B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UN CRPD, 11. cikk</w:t>
      </w:r>
    </w:p>
  </w:footnote>
  <w:footnote w:id="7">
    <w:p w14:paraId="631A7AA6" w14:textId="396D97CA" w:rsidR="00FE0B0B" w:rsidRPr="001839F8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Európa fogyatékkal élőinek helyzete a koronavírus idején, Milan Šveřepa, EU Observer, 2020 április 21. </w:t>
      </w:r>
      <w:hyperlink r:id="rId6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  <w:footnote w:id="8">
    <w:p w14:paraId="02DA8D28" w14:textId="77777777" w:rsidR="00FE0B0B" w:rsidRPr="001839F8" w:rsidRDefault="00FE0B0B" w:rsidP="00FE0B0B">
      <w:pPr>
        <w:pStyle w:val="FootnoteText"/>
      </w:pPr>
      <w:r>
        <w:rPr>
          <w:rStyle w:val="FootnoteReference"/>
        </w:rPr>
        <w:footnoteRef/>
      </w:r>
      <w:r>
        <w:t xml:space="preserve"> Európa fogyatékkal élőinek helyzete a koronavírus idején, Milan Sverepa, EU Observer, 2020 április 21. </w:t>
      </w:r>
      <w:hyperlink r:id="rId7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  <w:footnote w:id="9">
    <w:p w14:paraId="5ACF83A5" w14:textId="77777777" w:rsidR="009A43AB" w:rsidRPr="001839F8" w:rsidRDefault="009A43AB" w:rsidP="009A43AB">
      <w:pPr>
        <w:pStyle w:val="FootnoteText"/>
      </w:pPr>
      <w:r>
        <w:rPr>
          <w:rStyle w:val="FootnoteReference"/>
        </w:rPr>
        <w:footnoteRef/>
      </w:r>
      <w:r>
        <w:t xml:space="preserve"> Európa fogyatékkal élőinek helyzete a koronavírus idején, Milan Sverepa, EU Observer, 2020 április 21. </w:t>
      </w:r>
      <w:hyperlink r:id="rId8" w:history="1">
        <w:r>
          <w:rPr>
            <w:rStyle w:val="Hyperlink"/>
          </w:rPr>
          <w:t>https://euobserver.com/opinion/148118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F416E" w14:textId="50CAF433" w:rsidR="00B15E23" w:rsidRDefault="00B15E23" w:rsidP="00B15E23">
    <w:pPr>
      <w:tabs>
        <w:tab w:val="left" w:pos="2977"/>
        <w:tab w:val="center" w:pos="4513"/>
        <w:tab w:val="right" w:pos="9026"/>
      </w:tabs>
      <w:ind w:left="708"/>
      <w:jc w:val="right"/>
      <w:rPr>
        <w:rFonts w:ascii="Open Sans" w:hAnsi="Open Sans" w:cstheme="minorBidi"/>
        <w:b/>
        <w:noProof/>
        <w:color w:val="ED0F69"/>
        <w:sz w:val="20"/>
        <w:lang w:val="pt-PT" w:eastAsia="pt-PT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4ABDD7DE" wp14:editId="5BFE95F0">
          <wp:simplePos x="0" y="0"/>
          <wp:positionH relativeFrom="margin">
            <wp:posOffset>-285115</wp:posOffset>
          </wp:positionH>
          <wp:positionV relativeFrom="paragraph">
            <wp:posOffset>-408305</wp:posOffset>
          </wp:positionV>
          <wp:extent cx="2145665" cy="1202690"/>
          <wp:effectExtent l="0" t="0" r="6985" b="0"/>
          <wp:wrapTight wrapText="bothSides">
            <wp:wrapPolygon edited="0">
              <wp:start x="0" y="0"/>
              <wp:lineTo x="0" y="21212"/>
              <wp:lineTo x="21479" y="21212"/>
              <wp:lineTo x="214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202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4DFFD7" w14:textId="77777777" w:rsidR="00B15E23" w:rsidRDefault="00B15E23" w:rsidP="00B15E23">
    <w:pPr>
      <w:tabs>
        <w:tab w:val="left" w:pos="2977"/>
      </w:tabs>
      <w:rPr>
        <w:rFonts w:ascii="Open Sans" w:hAnsi="Open Sans" w:cstheme="minorBidi"/>
        <w:b/>
        <w:color w:val="000000" w:themeColor="text1"/>
        <w:spacing w:val="6"/>
        <w:sz w:val="18"/>
        <w:szCs w:val="18"/>
        <w:lang w:val="en-GB"/>
      </w:rPr>
    </w:pPr>
    <w:r>
      <w:rPr>
        <w:rFonts w:ascii="Open Sans" w:hAnsi="Open Sans"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>
      <w:rPr>
        <w:rFonts w:ascii="Open Sans" w:hAnsi="Open Sans" w:cstheme="minorBidi"/>
        <w:b/>
        <w:noProof/>
        <w:color w:val="000000" w:themeColor="text1"/>
        <w:spacing w:val="6"/>
        <w:sz w:val="18"/>
        <w:szCs w:val="18"/>
        <w:lang w:val="pt-PT" w:eastAsia="pt-PT"/>
      </w:rPr>
      <w:t>Ambitions. Rights. Belonging.</w:t>
    </w:r>
    <w:r>
      <w:rPr>
        <w:rFonts w:ascii="Open Sans" w:hAnsi="Open Sans" w:cstheme="minorBidi"/>
        <w:b/>
        <w:color w:val="000000" w:themeColor="text1"/>
        <w:spacing w:val="6"/>
        <w:sz w:val="18"/>
        <w:szCs w:val="18"/>
        <w:lang w:val="en-GB"/>
      </w:rPr>
      <w:t xml:space="preserve"> </w:t>
    </w:r>
  </w:p>
  <w:p w14:paraId="64ADC676" w14:textId="15072478" w:rsidR="00B15E23" w:rsidRDefault="00B15E23">
    <w:pPr>
      <w:pStyle w:val="Header"/>
    </w:pPr>
  </w:p>
  <w:p w14:paraId="4E0EBE33" w14:textId="26A3839E" w:rsidR="00B15E23" w:rsidRDefault="00B15E23">
    <w:pPr>
      <w:pStyle w:val="Header"/>
    </w:pPr>
  </w:p>
  <w:p w14:paraId="69FD1D1C" w14:textId="77777777" w:rsidR="00B15E23" w:rsidRDefault="00B15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A6111"/>
    <w:multiLevelType w:val="hybridMultilevel"/>
    <w:tmpl w:val="7E90E09C"/>
    <w:lvl w:ilvl="0" w:tplc="54EE9098">
      <w:start w:val="26"/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0B"/>
    <w:rsid w:val="00061312"/>
    <w:rsid w:val="000E3EFF"/>
    <w:rsid w:val="00141CDD"/>
    <w:rsid w:val="003712C2"/>
    <w:rsid w:val="004E112D"/>
    <w:rsid w:val="005D4995"/>
    <w:rsid w:val="00714865"/>
    <w:rsid w:val="008A195F"/>
    <w:rsid w:val="009A43AB"/>
    <w:rsid w:val="00B15E23"/>
    <w:rsid w:val="00E55382"/>
    <w:rsid w:val="00E60F7B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EC8B"/>
  <w15:chartTrackingRefBased/>
  <w15:docId w15:val="{EE9EE0E4-0B6B-4C09-A80B-39C3A369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="Open Sans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B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B0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E0B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B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B0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B0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E0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BE"/>
    </w:rPr>
  </w:style>
  <w:style w:type="paragraph" w:styleId="ListParagraph">
    <w:name w:val="List Paragraph"/>
    <w:basedOn w:val="Normal"/>
    <w:uiPriority w:val="34"/>
    <w:qFormat/>
    <w:rsid w:val="00FE0B0B"/>
    <w:pPr>
      <w:ind w:left="720"/>
      <w:contextualSpacing/>
    </w:pPr>
  </w:style>
  <w:style w:type="table" w:styleId="TableGrid">
    <w:name w:val="Table Grid"/>
    <w:basedOn w:val="TableNormal"/>
    <w:uiPriority w:val="39"/>
    <w:rsid w:val="00FE0B0B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C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C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clusion-europe.eu/coronavirus-pandemic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clusion-europe.eu/coronavirus-pandemic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observer.com/opinion/148118" TargetMode="External"/><Relationship Id="rId3" Type="http://schemas.openxmlformats.org/officeDocument/2006/relationships/hyperlink" Target="http://www.edf-feph.org/eu-has-ratified-convention-what-does-mean" TargetMode="External"/><Relationship Id="rId7" Type="http://schemas.openxmlformats.org/officeDocument/2006/relationships/hyperlink" Target="https://euobserver.com/opinion/148118" TargetMode="External"/><Relationship Id="rId2" Type="http://schemas.openxmlformats.org/officeDocument/2006/relationships/hyperlink" Target="https://eur-lex.europa.eu/LexUriServ/LexUriServ.do?uri=OJ:C:2010:340:0011:0015:EN:PDF" TargetMode="External"/><Relationship Id="rId1" Type="http://schemas.openxmlformats.org/officeDocument/2006/relationships/hyperlink" Target="https://eur-lex.europa.eu/legal-content/EN/TXT/?uri=uriserv:OJ.L_.2010.023.01.0035.01.ENG" TargetMode="External"/><Relationship Id="rId6" Type="http://schemas.openxmlformats.org/officeDocument/2006/relationships/hyperlink" Target="https://euobserver.com/opinion/148118" TargetMode="External"/><Relationship Id="rId5" Type="http://schemas.openxmlformats.org/officeDocument/2006/relationships/hyperlink" Target="https://ec.europa.eu/info/aid-development-cooperation-fundamental-rights/your-rights-eu/eu-charter-fundamental-rights/application-charter/incorporating-fundamental-rights-eu-legislative-process_en" TargetMode="External"/><Relationship Id="rId4" Type="http://schemas.openxmlformats.org/officeDocument/2006/relationships/hyperlink" Target="https://ec.europa.eu/info/topics/justice-and-fundamental-rights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2AE81-68FB-4864-AE7B-25F271071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BE213-A6BF-49F0-B57A-B8FA3847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Portal</dc:creator>
  <cp:keywords/>
  <dc:description/>
  <cp:lastModifiedBy>Helen Portal</cp:lastModifiedBy>
  <cp:revision>6</cp:revision>
  <dcterms:created xsi:type="dcterms:W3CDTF">2020-05-07T09:14:00Z</dcterms:created>
  <dcterms:modified xsi:type="dcterms:W3CDTF">2020-06-16T13:18:00Z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