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E8A3" w14:textId="12A7E0DC" w:rsidR="00FE0B0B" w:rsidRPr="00FE0B0B" w:rsidRDefault="00FE0B0B" w:rsidP="00FE0B0B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Petycja w obronie praw osób z niepełnosprawnością intelektualną i ich rodzin w czasach zagrożenia Covid-19. </w:t>
      </w:r>
    </w:p>
    <w:p w14:paraId="4A0E5F19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  <w:lang w:val="en-US"/>
        </w:rPr>
      </w:pPr>
    </w:p>
    <w:p w14:paraId="5B5FD106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  <w:lang w:val="en-US"/>
        </w:rPr>
      </w:pPr>
    </w:p>
    <w:p w14:paraId="7A784EAB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  <w:lang w:val="en-US"/>
        </w:rPr>
      </w:pPr>
    </w:p>
    <w:p w14:paraId="48E8FD72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  <w:lang w:val="en-US"/>
        </w:rPr>
      </w:pPr>
    </w:p>
    <w:p w14:paraId="2D4FD27C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Ponieważ Unia Europejska (UE) ratyfikowała </w:t>
      </w:r>
      <w:r>
        <w:rPr>
          <w:rFonts w:ascii="Cambria" w:hAnsi="Cambria"/>
          <w:b/>
          <w:bCs/>
          <w:sz w:val="24"/>
          <w:szCs w:val="24"/>
        </w:rPr>
        <w:t>Konwencję Narodów Zjednoczonych o prawach osób niepełnosprawnych (</w:t>
      </w:r>
      <w:r>
        <w:rPr>
          <w:rFonts w:ascii="Cambria" w:hAnsi="Cambria"/>
          <w:sz w:val="24"/>
          <w:szCs w:val="24"/>
        </w:rPr>
        <w:t xml:space="preserve"> KPON) i przystąpiła do niej w grudniu 2010 r., jest zatem odpowiedzialna za zapewnienie poszanowania wszystkich praw zapisanych w konwencji w zakresie swoich kompetencji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1"/>
      </w:r>
      <w:r>
        <w:rPr>
          <w:rFonts w:ascii="Cambria" w:hAnsi="Cambria"/>
          <w:sz w:val="24"/>
          <w:szCs w:val="24"/>
        </w:rPr>
        <w:t xml:space="preserve"> i obszarów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2"/>
      </w:r>
      <w:r>
        <w:rPr>
          <w:rFonts w:ascii="Cambria" w:hAnsi="Cambria"/>
          <w:sz w:val="24"/>
          <w:szCs w:val="24"/>
        </w:rPr>
        <w:t xml:space="preserve">polityki.  </w:t>
      </w:r>
    </w:p>
    <w:p w14:paraId="6A4AB13E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  <w:lang w:val="en-US"/>
        </w:rPr>
      </w:pPr>
    </w:p>
    <w:p w14:paraId="4E7E7B54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Wymiar sprawiedliwości i prawa podstawowe są jednym z obszarów polityki UE.  </w:t>
      </w:r>
      <w:r>
        <w:rPr>
          <w:rStyle w:val="Strong"/>
          <w:rFonts w:ascii="Cambria" w:hAnsi="Cambria"/>
          <w:sz w:val="24"/>
          <w:szCs w:val="24"/>
        </w:rPr>
        <w:t>Karta praw podstawowych Unii Europejskiej</w:t>
      </w:r>
      <w:r>
        <w:rPr>
          <w:rFonts w:ascii="Cambria" w:hAnsi="Cambria"/>
          <w:sz w:val="24"/>
          <w:szCs w:val="24"/>
        </w:rPr>
        <w:t xml:space="preserve"> zawiera w sobie wszystkie prawa osobiste, obywatelskie, polityczne, gospodarcze i społeczne, z których korzystają ludzie w UE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3"/>
      </w:r>
      <w:r>
        <w:rPr>
          <w:rFonts w:ascii="Cambria" w:hAnsi="Cambria"/>
          <w:sz w:val="24"/>
          <w:szCs w:val="24"/>
        </w:rPr>
        <w:t xml:space="preserve">. </w:t>
      </w:r>
    </w:p>
    <w:p w14:paraId="654E1D41" w14:textId="77777777" w:rsidR="00FE0B0B" w:rsidRPr="00106A17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00C53B5B" w14:textId="21631ABC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art. 26 Karty praw podstawowych UE wyraźnie się o tym wspomina:</w:t>
      </w:r>
    </w:p>
    <w:p w14:paraId="2982C563" w14:textId="77777777" w:rsidR="00FE0B0B" w:rsidRPr="00FE0B0B" w:rsidRDefault="00FE0B0B" w:rsidP="00FE0B0B">
      <w:pPr>
        <w:ind w:left="720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„Unia uznaje i szanuje prawo osób niepełnosprawnych do korzystania ze środków mających zapewnić im niezależność, integrację społeczną i zawodową oraz udział w życiu społeczności</w:t>
      </w:r>
      <w:r w:rsidRPr="00FE0B0B">
        <w:rPr>
          <w:rStyle w:val="FootnoteReference"/>
          <w:rFonts w:ascii="Cambria" w:hAnsi="Cambria"/>
          <w:i/>
          <w:iCs/>
          <w:sz w:val="24"/>
          <w:szCs w:val="24"/>
          <w:lang w:val="en-US"/>
        </w:rPr>
        <w:footnoteReference w:id="4"/>
      </w:r>
      <w:r>
        <w:rPr>
          <w:rFonts w:ascii="Cambria" w:hAnsi="Cambria"/>
          <w:i/>
          <w:iCs/>
          <w:sz w:val="24"/>
          <w:szCs w:val="24"/>
        </w:rPr>
        <w:t>”.</w:t>
      </w:r>
    </w:p>
    <w:p w14:paraId="18DB2AB4" w14:textId="77777777" w:rsidR="00FE0B0B" w:rsidRPr="00106A17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2B020229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Jak wspomniano na stronie internetowej UE, „karta nie ustanawia ogólnych uprawnień Komisji Europejskiej do interwencji w dziedzinie praw podstawowych. Może ona interweniować tylko wtedy, gdy w grę wchodzi prawo UE (na przykład, gdy przyjmowane jest prawodawstwo UE lub </w:t>
      </w:r>
      <w:r>
        <w:rPr>
          <w:rFonts w:ascii="Cambria" w:hAnsi="Cambria"/>
          <w:b/>
          <w:bCs/>
          <w:sz w:val="24"/>
          <w:szCs w:val="24"/>
        </w:rPr>
        <w:t>gdy w środku krajowym stosuje się prawo UE w sposób niezgodny z kartą</w:t>
      </w:r>
      <w:r>
        <w:rPr>
          <w:rFonts w:ascii="Cambria" w:hAnsi="Cambria"/>
          <w:sz w:val="24"/>
          <w:szCs w:val="24"/>
        </w:rPr>
        <w:t>)"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5"/>
      </w:r>
      <w:r>
        <w:rPr>
          <w:rFonts w:ascii="Cambria" w:hAnsi="Cambria"/>
          <w:sz w:val="24"/>
          <w:szCs w:val="24"/>
        </w:rPr>
        <w:t xml:space="preserve">. </w:t>
      </w:r>
    </w:p>
    <w:p w14:paraId="0719BB06" w14:textId="77777777" w:rsidR="00FE0B0B" w:rsidRPr="00106A17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01288207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Ponieważ obecnie przechodzimy przez epidemię i kryzys sanitarny, chcielibyśmy skupić się bardziej szczegółowo — nawet jeśli wszystkie artykuły KPON są w tej sprawie równie ważne — na art. 11 KPON, który jest obecnie szczególnie istotny. </w:t>
      </w:r>
    </w:p>
    <w:p w14:paraId="0A110227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Rzeczywiście, w art. </w:t>
      </w:r>
      <w:r>
        <w:rPr>
          <w:rFonts w:ascii="Cambria" w:hAnsi="Cambria"/>
          <w:b/>
          <w:bCs/>
          <w:sz w:val="24"/>
          <w:szCs w:val="24"/>
        </w:rPr>
        <w:t>11 KPON jest mowa w szczególności o sytuacjach zagrożenia i kryzysach humanitarnych</w:t>
      </w:r>
      <w:r>
        <w:rPr>
          <w:rFonts w:ascii="Cambria" w:hAnsi="Cambria"/>
          <w:sz w:val="24"/>
          <w:szCs w:val="24"/>
        </w:rPr>
        <w:t xml:space="preserve">: </w:t>
      </w:r>
    </w:p>
    <w:p w14:paraId="498C4575" w14:textId="77777777" w:rsidR="00FE0B0B" w:rsidRPr="00FE0B0B" w:rsidRDefault="00FE0B0B" w:rsidP="00FE0B0B">
      <w:pPr>
        <w:pStyle w:val="NormalWeb"/>
        <w:spacing w:before="0" w:beforeAutospacing="0" w:after="0" w:afterAutospacing="0"/>
        <w:ind w:left="720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„Państwa Strony podejmują, zgodnie ze swoimi zobowiązaniami wynikającymi z prawa międzynarodowego, w tym międzynarodowego prawa humanitarnego i międzynarodowego prawa praw człowieka, wszelkie niezbędne środki w celu zapewnienia ochrony i bezpieczeństwa osób niepełnosprawnych w sytuacjach zagrożenia, w tym w sytuacjach konfliktów zbrojnych, kryzysów humanitarnych i występowania klęsk żywiołowych</w:t>
      </w:r>
      <w:r w:rsidRPr="00FE0B0B">
        <w:rPr>
          <w:rStyle w:val="FootnoteReference"/>
          <w:rFonts w:ascii="Cambria" w:hAnsi="Cambria"/>
          <w:i/>
          <w:iCs/>
          <w:lang w:val="en-US"/>
        </w:rPr>
        <w:footnoteReference w:id="6"/>
      </w:r>
      <w:r>
        <w:rPr>
          <w:rFonts w:ascii="Cambria" w:hAnsi="Cambria"/>
          <w:i/>
          <w:iCs/>
        </w:rPr>
        <w:t>”.</w:t>
      </w:r>
    </w:p>
    <w:p w14:paraId="538EAE89" w14:textId="77777777" w:rsidR="009A43AB" w:rsidRPr="00106A17" w:rsidRDefault="009A43AB" w:rsidP="00FE0B0B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</w:p>
    <w:p w14:paraId="44AE8A1B" w14:textId="77777777" w:rsidR="00FE0B0B" w:rsidRPr="00FE0B0B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>Od 1988 roku</w:t>
      </w:r>
      <w:r>
        <w:rPr>
          <w:rFonts w:ascii="Cambria" w:hAnsi="Cambria"/>
          <w:b/>
          <w:bCs/>
          <w:sz w:val="24"/>
          <w:szCs w:val="24"/>
        </w:rPr>
        <w:t xml:space="preserve"> Inclusion Europe reprezentuje osoby z niepełnosprawnością intelektualną i ich rodziny w Europie i walczy o ich równe prawa i pełną integrację we wszystkich aspektach życia</w:t>
      </w:r>
      <w:r>
        <w:rPr>
          <w:rFonts w:ascii="Cambria" w:hAnsi="Cambria"/>
          <w:sz w:val="24"/>
          <w:szCs w:val="24"/>
        </w:rPr>
        <w:t>.</w:t>
      </w:r>
    </w:p>
    <w:p w14:paraId="76F516A1" w14:textId="2320E219" w:rsidR="00FE0B0B" w:rsidRPr="00141CDD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Inclusion Europe reprezentuje obecnie 79 organizacji członkowskich w 39 krajach europejskich. </w:t>
      </w:r>
    </w:p>
    <w:p w14:paraId="3372231D" w14:textId="77777777" w:rsidR="00FE0B0B" w:rsidRPr="00FE0B0B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Od samego początku sytuacji kryzysowej związanej z Covid-19 Inclusion Europe działa aktywnie na rzecz informowania naszych członków i udzielania informacji w formie </w:t>
      </w:r>
      <w:hyperlink r:id="rId9" w:anchor="1584977061628-16fcec00-a699" w:history="1">
        <w:r>
          <w:rPr>
            <w:rStyle w:val="Hyperlink"/>
            <w:rFonts w:ascii="Cambria" w:hAnsi="Cambria"/>
            <w:sz w:val="24"/>
            <w:szCs w:val="24"/>
          </w:rPr>
          <w:t>łatwej do odczytania</w:t>
        </w:r>
      </w:hyperlink>
      <w:r>
        <w:rPr>
          <w:rFonts w:ascii="Cambria" w:hAnsi="Cambria"/>
          <w:sz w:val="24"/>
          <w:szCs w:val="24"/>
        </w:rPr>
        <w:t xml:space="preserve"> oraz </w:t>
      </w:r>
      <w:hyperlink r:id="rId10" w:anchor="1584977115025-1ebd5d7f-b126" w:history="1">
        <w:r>
          <w:rPr>
            <w:rStyle w:val="Hyperlink"/>
            <w:rFonts w:ascii="Cambria" w:hAnsi="Cambria"/>
            <w:sz w:val="24"/>
            <w:szCs w:val="24"/>
          </w:rPr>
          <w:t>gromadzi informacje</w:t>
        </w:r>
      </w:hyperlink>
      <w:r>
        <w:rPr>
          <w:rFonts w:ascii="Cambria" w:hAnsi="Cambria"/>
          <w:sz w:val="24"/>
          <w:szCs w:val="24"/>
        </w:rPr>
        <w:t xml:space="preserve"> od naszych członków na temat tego, co działo się w państwie członkowskim. </w:t>
      </w:r>
    </w:p>
    <w:p w14:paraId="3CB9D67E" w14:textId="77777777" w:rsidR="00FE0B0B" w:rsidRPr="00106A17" w:rsidRDefault="00FE0B0B" w:rsidP="00FE0B0B">
      <w:pPr>
        <w:jc w:val="both"/>
        <w:rPr>
          <w:rFonts w:ascii="Cambria" w:hAnsi="Cambria" w:cs="Open Sans"/>
          <w:sz w:val="24"/>
          <w:szCs w:val="24"/>
        </w:rPr>
      </w:pPr>
    </w:p>
    <w:p w14:paraId="40667A23" w14:textId="6C7A8E67" w:rsidR="00FE0B0B" w:rsidRPr="009A43AB" w:rsidRDefault="00FE0B0B" w:rsidP="00FE0B0B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Pragniemy zwrócić uwagę Komisji na kilka przypadków niezgodności przepisów krajowych z Konwencją ONZ lub Kartą praw podstawowych UE i zwrócić się do niego o skoncentrowanie się na działaniach, które należy podjąć w celu ochrony osób z niepełnosprawnością intelektualną i ich rodzin. </w:t>
      </w:r>
    </w:p>
    <w:p w14:paraId="5F22D760" w14:textId="77777777" w:rsidR="00FE0B0B" w:rsidRPr="00106A17" w:rsidRDefault="00FE0B0B" w:rsidP="00FE0B0B">
      <w:pPr>
        <w:jc w:val="both"/>
        <w:rPr>
          <w:rFonts w:ascii="Cambria" w:hAnsi="Cambria" w:cs="Open Sans"/>
          <w:b/>
          <w:bCs/>
          <w:sz w:val="24"/>
          <w:szCs w:val="24"/>
        </w:rPr>
      </w:pPr>
    </w:p>
    <w:p w14:paraId="56AD7516" w14:textId="77777777" w:rsidR="00FE0B0B" w:rsidRPr="00106A17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5771A675" w14:textId="77777777" w:rsidR="00FE0B0B" w:rsidRPr="00FE0B0B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Sytuacja zaobserwowana w niektórych krajach: </w:t>
      </w:r>
    </w:p>
    <w:p w14:paraId="3E0BABB3" w14:textId="77777777" w:rsidR="00FE0B0B" w:rsidRPr="00106A17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60C6B9A8" w14:textId="77777777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Osoby z niepełnosprawnością intelektualną chore na Covid-19</w:t>
      </w:r>
    </w:p>
    <w:p w14:paraId="42CD54BF" w14:textId="7455C94D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Pacjenci, których dolegliwości nie są leczone, ponieważ są zbyt „trudni”. </w:t>
      </w:r>
    </w:p>
    <w:p w14:paraId="5A3900BF" w14:textId="77777777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Komunikacja: brak możliwości zrozumienia, co się dzieje, wysoki poziom stresu i lęku oraz brak możliwości obecności osoby towarzyszącej, która wyjaśniłaby, co się dzieje; </w:t>
      </w:r>
    </w:p>
    <w:p w14:paraId="57DE85AA" w14:textId="69D280E1" w:rsid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Bardzo szokujące wytyczne dotyczące triage’u w szpitalach, które mają bardzo wyraźny cel zaniechania opieki nad osobami niepełnosprawnymi, ponieważ mają niewielkie szanse na wyzdrowienie, a ich życie i tak nie jest „warte” wysiłku.</w:t>
      </w:r>
    </w:p>
    <w:p w14:paraId="4BA72582" w14:textId="5028474C" w:rsid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Dostęp do opieki zdrowotnej, jaki ludzie mieli na co dzień przed kryzysem.</w:t>
      </w:r>
    </w:p>
    <w:p w14:paraId="78636765" w14:textId="56F7B2D9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Ludzie są pozostawieni bez żadnego wsparcia. Jak stwierdził Międzynarodowy Sojusz na rzecz Osób Niepełnosprawnych, „osoby niepełnosprawne umierają nie tylko z powodu koronawirusa, lecz także z powodu braku usług wynikających z braku wsparcia społeczno-ekonomicznego”. </w:t>
      </w:r>
    </w:p>
    <w:p w14:paraId="0EBAA247" w14:textId="5571FE54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Dzieci bez dostępu do kształcenia, ponieważ szkoła nie może się z nimi porozumieć, i rodziny, które same muszą radzić sobie ze wszystkim, od karmienia po edukację.</w:t>
      </w:r>
    </w:p>
    <w:p w14:paraId="28F03744" w14:textId="77777777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Ponieważ już w okresie przedkryzysowym kształcenie w całej Europie w niewielkim stopniu wspierało integrację, a ponadto w dużej mierze </w:t>
      </w:r>
      <w:r>
        <w:rPr>
          <w:rFonts w:ascii="Cambria" w:hAnsi="Cambria"/>
          <w:sz w:val="24"/>
          <w:szCs w:val="24"/>
        </w:rPr>
        <w:lastRenderedPageBreak/>
        <w:t xml:space="preserve">opierało się na segregacji... w czasie kryzysu sytuacja w całej Europie jest katastrofalna. Dzieci nie mają osób wspierających, ponieważ w wielu krajach UE praca takich osób nie jest uznawana za „mającą kluczowe znaczenie". </w:t>
      </w:r>
    </w:p>
    <w:p w14:paraId="2284EB65" w14:textId="77777777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Brak możliwości kontaktu z krewnymi i przyjaciółmi oraz prowadzenia normalnej, międzyludzkiej rozmowy?</w:t>
      </w:r>
    </w:p>
    <w:p w14:paraId="6047444D" w14:textId="57570C77" w:rsid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Ludzie są zamykani w tzw. "domach opieki"/instytucjach. Oznacza to, że rodziny nie mogą ich odwiedzać, a osoby te są w rzeczywistości w wysokim stopniu zagrożone zakażeniem, ponieważ, jak już wielokrotnie powiedziano, w tych instytucjach nie ma środków ochronnych. </w:t>
      </w:r>
    </w:p>
    <w:p w14:paraId="418604C7" w14:textId="09E02BC4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 naprawdę rzuca nieco światła na to, czym są duże instytucje „opiekuńcze” oferujące pobyt: wylęgarnią ryzyka i problemów, które są jedynie reklamowane jako „bezpieczne miejsca”.</w:t>
      </w:r>
      <w:r>
        <w:rPr>
          <w:rStyle w:val="FootnoteReference"/>
          <w:rFonts w:ascii="Cambria" w:hAnsi="Cambria"/>
          <w:sz w:val="24"/>
          <w:szCs w:val="24"/>
        </w:rPr>
        <w:t xml:space="preserve"> 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7"/>
      </w:r>
    </w:p>
    <w:p w14:paraId="29142A2C" w14:textId="77777777" w:rsidR="00FE0B0B" w:rsidRPr="00106A17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05A2988E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Podsumowując, sytuacja w instytucjach jest </w:t>
      </w:r>
      <w:r>
        <w:rPr>
          <w:rFonts w:ascii="Cambria" w:hAnsi="Cambria"/>
          <w:b/>
          <w:bCs/>
          <w:sz w:val="24"/>
          <w:szCs w:val="24"/>
        </w:rPr>
        <w:t>pełna paradoksów</w:t>
      </w:r>
      <w:r>
        <w:rPr>
          <w:rFonts w:ascii="Cambria" w:hAnsi="Cambria"/>
          <w:sz w:val="24"/>
          <w:szCs w:val="24"/>
        </w:rPr>
        <w:t xml:space="preserve">: są tacy, którzy chcieliby wrócić do swoich rodzin, ale nie mogą, i tacy, którzy „utknęli” z rodziną, chociaż jedyną rzeczą, której pragną, jest niezależność! </w:t>
      </w:r>
    </w:p>
    <w:p w14:paraId="49C32666" w14:textId="77777777" w:rsidR="00FE0B0B" w:rsidRPr="00106A17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5EA4F457" w14:textId="50DCE14B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Koronawirus i związane z nim obostrzenia uwydatniają </w:t>
      </w:r>
      <w:r>
        <w:rPr>
          <w:rFonts w:ascii="Cambria" w:hAnsi="Cambria"/>
          <w:b/>
          <w:bCs/>
          <w:sz w:val="24"/>
          <w:szCs w:val="24"/>
        </w:rPr>
        <w:t>trwającą segregację i dyskryminację</w:t>
      </w:r>
      <w:r>
        <w:rPr>
          <w:rFonts w:ascii="Cambria" w:hAnsi="Cambria"/>
          <w:sz w:val="24"/>
          <w:szCs w:val="24"/>
        </w:rPr>
        <w:t xml:space="preserve"> osób z niepełnosprawnością intelektualną, zwłaszcza w dostępie do opieki zdrowotnej.</w:t>
      </w:r>
    </w:p>
    <w:p w14:paraId="793E8CE9" w14:textId="700B7155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Kryzys związany z koronawirusem odpowiada za pogorszenie tych aspektów codziennego życia milionów ludzi w całej Europie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8"/>
      </w:r>
      <w:r>
        <w:rPr>
          <w:rFonts w:ascii="Cambria" w:hAnsi="Cambria"/>
          <w:sz w:val="24"/>
          <w:szCs w:val="24"/>
        </w:rPr>
        <w:t>.</w:t>
      </w:r>
    </w:p>
    <w:p w14:paraId="6FB0C8A4" w14:textId="77777777" w:rsidR="00FE0B0B" w:rsidRPr="00106A17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6C0E4179" w14:textId="77777777" w:rsidR="00FE0B0B" w:rsidRPr="00106A17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79F2AF92" w14:textId="77777777" w:rsidR="00FE0B0B" w:rsidRPr="00FE0B0B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Konkretne środki, które UE mogłaby podjąć w celu ochrony osób z niepełnosprawnością intelektualną</w:t>
      </w:r>
    </w:p>
    <w:p w14:paraId="6E46748A" w14:textId="77777777" w:rsidR="00FE0B0B" w:rsidRPr="00106A17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2DC7C5A5" w14:textId="0E6F1A77" w:rsidR="00FE0B0B" w:rsidRDefault="00FE0B0B" w:rsidP="00FE0B0B">
      <w:pPr>
        <w:tabs>
          <w:tab w:val="left" w:pos="1272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Jeśli chodzi o natychmiastową reakcję w zakresie ochrony zdrowia, należy dopilnować, aby była ona zgodna zarówno z Kartą praw podstawowych UE, jak i z KPON, pamiętając o tym, że każde życie są cenne i żadna osoba nie może uważać się zdolną do oceny, czy życie ludzkie jest wartościowe, czy też nie. </w:t>
      </w:r>
    </w:p>
    <w:p w14:paraId="70E0B8A2" w14:textId="77777777" w:rsidR="00FE0B0B" w:rsidRPr="00106A17" w:rsidRDefault="00FE0B0B" w:rsidP="00FE0B0B">
      <w:pPr>
        <w:tabs>
          <w:tab w:val="left" w:pos="1272"/>
        </w:tabs>
        <w:jc w:val="both"/>
        <w:rPr>
          <w:rFonts w:ascii="Cambria" w:hAnsi="Cambria"/>
          <w:sz w:val="24"/>
          <w:szCs w:val="24"/>
        </w:rPr>
      </w:pPr>
    </w:p>
    <w:p w14:paraId="1FF1BFC1" w14:textId="42B9170E" w:rsidR="00FE0B0B" w:rsidRPr="00FE0B0B" w:rsidRDefault="009A43AB" w:rsidP="003712C2">
      <w:pPr>
        <w:tabs>
          <w:tab w:val="left" w:pos="1272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„Żadna realistyczna perspektywa zniesienia obostrzeń związanych z koronawirusem nie przyniesie osobom z niepełnosprawnością intelektualną ulgi, a jedynie naznaczy symboliczny początek długiego okresu krzywdy i cierpienia, z dala od uwagi mediów.</w:t>
      </w:r>
    </w:p>
    <w:p w14:paraId="76D2A78A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Nawet jeśli sytuacja wróci do normalności znanej z czasów przed pandemią, nadal będzie istnieć segregacja osób z niepełnosprawnością w ich społecznościach i w szkołach; rodziny będą musiały zapewnić większość opieki i wsparcia oraz walczyć o najmniejszy postęp i uznanie; osoby z niepełnosprawnością intelektualną nadal nie będą objęte odpowiednią opieką zdrowotną.</w:t>
      </w:r>
    </w:p>
    <w:p w14:paraId="0A7252E5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Jakkolwiek niemile by to zabrzmiało, byłoby to i tak lepsze niż to, czego musimy się najbardziej obawiać: reperkusje finansowe i ograniczenie usług. </w:t>
      </w:r>
    </w:p>
    <w:p w14:paraId="5EE2D51C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Widzieliśmy, jak zabójcze były skutki kryzysu finansowego z 2009 roku — likwidacja usług, cięcia świadczeń z tytułu niepełnosprawności i świadczeń socjalnych, masowe bezrobocie i ich reperkusje dla samopoczucia i życia ludzi.</w:t>
      </w:r>
    </w:p>
    <w:p w14:paraId="3F167CAC" w14:textId="0D5F7C2D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Dlatego, aby uniknąć takiej tragedii, władze krajowe i unijne muszą zadbać o to, aby miliardy przeznaczone na bodźce ekonomiczne po zakończeniu pandemii były skierowane przede wszystkim do osób niepełnosprawnych i innych grup społecznych wymagających „szczególnego traktowania”. </w:t>
      </w:r>
    </w:p>
    <w:p w14:paraId="5CB9A2BB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Dotychczasowe sygnały nie są zachęcające, a przekaz koncentruje się na przedsiębiorstwach i zatrudnieniu, na wykorzystaniu unijnych środków w ramach polityki spójności do finansowania wszelkich niezbędnych działań związanych z koronawirusem. </w:t>
      </w:r>
    </w:p>
    <w:p w14:paraId="58A4CE60" w14:textId="0CB242EB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Działalność gospodarcza i zatrudnienie są ważne, ale to nie wszystko. Pieniędzy, które teraz zostaną wyjęte z funduszy spójności, zabraknie później. Oszukiwanie gospodarki nie działa, jak słusznie zauważa wielu komentatorów, patrząc na sytuację na świecie.</w:t>
      </w:r>
    </w:p>
    <w:p w14:paraId="458E2F09" w14:textId="683EEAA7" w:rsidR="009A43AB" w:rsidRPr="00E55382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[…]</w:t>
      </w:r>
    </w:p>
    <w:p w14:paraId="7AAF5744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Usługi skierowane do osób niepełnosprawnych powinny priorytetowo powrócić do normalnego stanu, jako jedne z pierwszych w ramach znoszenia obostrzeń</w:t>
      </w:r>
      <w:r>
        <w:rPr>
          <w:rFonts w:ascii="Cambria" w:hAnsi="Cambria"/>
          <w:sz w:val="24"/>
          <w:szCs w:val="24"/>
        </w:rPr>
        <w:t xml:space="preserve">. </w:t>
      </w:r>
    </w:p>
    <w:p w14:paraId="0D33EF23" w14:textId="2185C784" w:rsidR="009A43AB" w:rsidRPr="009A43AB" w:rsidRDefault="009A43AB" w:rsidP="003712C2">
      <w:pPr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Środki finansowe na walkę ze skutkami pandemii nie tylko powinny dotrzeć do osób z niepełnosprawnością intelektualną i ich rodzin</w:t>
      </w:r>
      <w:r>
        <w:rPr>
          <w:rFonts w:ascii="Cambria" w:hAnsi="Cambria"/>
          <w:sz w:val="24"/>
          <w:szCs w:val="24"/>
        </w:rPr>
        <w:t>, lecz powinny do nich dotrzeć w pierwszej kolejności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9"/>
      </w:r>
      <w:r>
        <w:rPr>
          <w:rFonts w:ascii="Cambria" w:hAnsi="Cambria"/>
          <w:sz w:val="24"/>
          <w:szCs w:val="24"/>
        </w:rPr>
        <w:t>”.</w:t>
      </w:r>
    </w:p>
    <w:p w14:paraId="4ACFD956" w14:textId="77777777" w:rsidR="00E60F7B" w:rsidRPr="00FE0B0B" w:rsidRDefault="00E60F7B">
      <w:pPr>
        <w:rPr>
          <w:rFonts w:ascii="Cambria" w:hAnsi="Cambria"/>
          <w:sz w:val="24"/>
          <w:szCs w:val="24"/>
        </w:rPr>
      </w:pPr>
    </w:p>
    <w:sectPr w:rsidR="00E60F7B" w:rsidRPr="00FE0B0B" w:rsidSect="00106A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B5E7D" w14:textId="77777777" w:rsidR="00CD3082" w:rsidRDefault="00CD3082" w:rsidP="00FE0B0B">
      <w:r>
        <w:separator/>
      </w:r>
    </w:p>
  </w:endnote>
  <w:endnote w:type="continuationSeparator" w:id="0">
    <w:p w14:paraId="4807E3D2" w14:textId="77777777" w:rsidR="00CD3082" w:rsidRDefault="00CD3082" w:rsidP="00FE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888E9" w14:textId="77777777" w:rsidR="00106A17" w:rsidRDefault="00106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1112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FC084" w14:textId="51816C24" w:rsidR="003712C2" w:rsidRDefault="00371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0907D4" w14:textId="77777777" w:rsidR="003712C2" w:rsidRDefault="00371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E9AB1" w14:textId="77777777" w:rsidR="00710C4A" w:rsidRDefault="00710C4A" w:rsidP="00710C4A">
    <w:pPr>
      <w:spacing w:before="60"/>
      <w:rPr>
        <w:rFonts w:ascii="Open Sans" w:hAnsi="Open Sans" w:cs="Open Sans"/>
        <w:b/>
        <w:noProof/>
        <w:sz w:val="16"/>
        <w:szCs w:val="16"/>
        <w:lang w:val="en-GB"/>
      </w:rPr>
    </w:pPr>
  </w:p>
  <w:p w14:paraId="3DA17CB3" w14:textId="77777777" w:rsidR="00710C4A" w:rsidRDefault="00710C4A" w:rsidP="00710C4A">
    <w:pPr>
      <w:spacing w:before="60"/>
      <w:rPr>
        <w:rFonts w:ascii="Open Sans" w:hAnsi="Open Sans" w:cs="Open Sans"/>
        <w:b/>
        <w:noProof/>
        <w:sz w:val="16"/>
        <w:szCs w:val="16"/>
        <w:lang w:val="en-GB"/>
      </w:rPr>
    </w:pPr>
  </w:p>
  <w:p w14:paraId="7739B75D" w14:textId="01355B4A" w:rsidR="00710C4A" w:rsidRDefault="00710C4A" w:rsidP="00710C4A">
    <w:pPr>
      <w:spacing w:before="60"/>
      <w:rPr>
        <w:rFonts w:ascii="Open Sans" w:hAnsi="Open Sans" w:cs="Open Sans"/>
        <w:noProof/>
        <w:sz w:val="6"/>
        <w:szCs w:val="16"/>
        <w:lang w:val="en-GB"/>
      </w:rPr>
    </w:pPr>
    <w:r>
      <w:rPr>
        <w:noProof/>
        <w:lang w:val="hu-HU"/>
      </w:rPr>
      <w:drawing>
        <wp:anchor distT="0" distB="0" distL="114300" distR="114300" simplePos="0" relativeHeight="251663360" behindDoc="1" locked="0" layoutInCell="1" allowOverlap="1" wp14:anchorId="0E3B4A87" wp14:editId="7D214A89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" name="Picture 5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The flag of the European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noProof/>
        <w:sz w:val="16"/>
        <w:szCs w:val="16"/>
        <w:lang w:val="en-GB"/>
      </w:rPr>
      <w:t>Inclusion Europe</w:t>
    </w:r>
    <w:r>
      <w:rPr>
        <w:rFonts w:ascii="Open Sans" w:hAnsi="Open Sans" w:cs="Open Sans"/>
        <w:noProof/>
        <w:sz w:val="16"/>
        <w:szCs w:val="16"/>
        <w:lang w:val="en-GB"/>
      </w:rPr>
      <w:br/>
      <w:t>European movement of people with intellectual disabilities and their families</w:t>
    </w:r>
    <w:r>
      <w:rPr>
        <w:rFonts w:ascii="Open Sans" w:hAnsi="Open Sans" w:cs="Open Sans"/>
        <w:noProof/>
        <w:sz w:val="16"/>
        <w:szCs w:val="16"/>
        <w:lang w:val="en-GB"/>
      </w:rPr>
      <w:tab/>
    </w:r>
    <w:r>
      <w:rPr>
        <w:rFonts w:ascii="Open Sans" w:hAnsi="Open Sans" w:cs="Open Sans"/>
        <w:noProof/>
        <w:sz w:val="1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  <w:r>
      <w:rPr>
        <w:rFonts w:ascii="Open Sans" w:hAnsi="Open Sans" w:cs="Open Sans"/>
        <w:noProof/>
        <w:sz w:val="6"/>
        <w:szCs w:val="16"/>
        <w:lang w:val="en-GB"/>
      </w:rPr>
      <w:tab/>
    </w:r>
  </w:p>
  <w:p w14:paraId="7C3C70E7" w14:textId="77777777" w:rsidR="00710C4A" w:rsidRDefault="00710C4A" w:rsidP="00710C4A">
    <w:pPr>
      <w:tabs>
        <w:tab w:val="right" w:pos="8647"/>
      </w:tabs>
      <w:spacing w:before="60"/>
      <w:rPr>
        <w:rFonts w:ascii="Open Sans" w:hAnsi="Open Sans" w:cs="Open Sans"/>
        <w:noProof/>
        <w:sz w:val="6"/>
        <w:szCs w:val="16"/>
        <w:lang w:val="en-GB"/>
      </w:rPr>
    </w:pPr>
    <w:r>
      <w:rPr>
        <w:rFonts w:ascii="Open Sans" w:hAnsi="Open Sans" w:cs="Open Sans"/>
        <w:noProof/>
        <w:sz w:val="14"/>
        <w:szCs w:val="14"/>
        <w:lang w:val="en-GB"/>
      </w:rPr>
      <w:t>Avenue des Arts 3, 1210 Brussels, Belgium</w:t>
    </w:r>
    <w:r>
      <w:rPr>
        <w:rFonts w:ascii="Open Sans" w:hAnsi="Open Sans" w:cs="Open Sans"/>
        <w:noProof/>
        <w:sz w:val="14"/>
        <w:szCs w:val="14"/>
        <w:lang w:val="en-GB"/>
      </w:rPr>
      <w:tab/>
    </w:r>
    <w:r>
      <w:rPr>
        <w:rFonts w:ascii="Open Sans" w:hAnsi="Open Sans" w:cs="Open Sans"/>
        <w:noProof/>
        <w:sz w:val="14"/>
        <w:szCs w:val="14"/>
        <w:lang w:val="en-GB"/>
      </w:rPr>
      <w:br/>
      <w:t xml:space="preserve">+32 25 02 28 15 </w:t>
    </w:r>
    <w:r>
      <w:rPr>
        <w:rFonts w:ascii="Open Sans" w:hAnsi="Open Sans" w:cs="Open Sans"/>
        <w:noProof/>
        <w:sz w:val="14"/>
        <w:szCs w:val="14"/>
        <w:lang w:val="en-GB"/>
      </w:rPr>
      <w:tab/>
      <w:t>Co-funded by</w:t>
    </w:r>
    <w:r>
      <w:rPr>
        <w:rFonts w:ascii="Open Sans" w:hAnsi="Open Sans" w:cs="Open Sans"/>
        <w:noProof/>
        <w:sz w:val="14"/>
        <w:szCs w:val="14"/>
        <w:lang w:val="en-GB"/>
      </w:rPr>
      <w:br/>
    </w:r>
    <w:hyperlink r:id="rId2" w:history="1">
      <w:r>
        <w:rPr>
          <w:rStyle w:val="Hyperlink"/>
          <w:rFonts w:ascii="Open Sans" w:hAnsi="Open Sans" w:cs="Open Sans"/>
          <w:sz w:val="14"/>
          <w:szCs w:val="14"/>
          <w:lang w:val="en-GB"/>
        </w:rPr>
        <w:t>secretariat@inclusion-europe.org</w:t>
      </w:r>
    </w:hyperlink>
    <w:r>
      <w:rPr>
        <w:rFonts w:ascii="Open Sans" w:hAnsi="Open Sans" w:cs="Open Sans"/>
        <w:noProof/>
        <w:sz w:val="14"/>
        <w:szCs w:val="14"/>
        <w:lang w:val="en-GB"/>
      </w:rPr>
      <w:t xml:space="preserve"> </w:t>
    </w:r>
    <w:r>
      <w:rPr>
        <w:rFonts w:ascii="Open Sans" w:hAnsi="Open Sans" w:cs="Open Sans"/>
        <w:noProof/>
        <w:sz w:val="14"/>
        <w:szCs w:val="14"/>
        <w:lang w:val="en-GB"/>
      </w:rPr>
      <w:tab/>
      <w:t>the European Union</w:t>
    </w:r>
    <w:r>
      <w:rPr>
        <w:rFonts w:ascii="Open Sans" w:hAnsi="Open Sans" w:cs="Open Sans"/>
        <w:noProof/>
        <w:sz w:val="14"/>
        <w:szCs w:val="14"/>
        <w:lang w:val="en-GB"/>
      </w:rPr>
      <w:br/>
    </w:r>
  </w:p>
  <w:p w14:paraId="35C45384" w14:textId="3FEAA8E8" w:rsidR="00710C4A" w:rsidRDefault="00710C4A" w:rsidP="00710C4A">
    <w:pPr>
      <w:tabs>
        <w:tab w:val="left" w:pos="284"/>
        <w:tab w:val="left" w:pos="2552"/>
        <w:tab w:val="left" w:pos="4678"/>
        <w:tab w:val="right" w:pos="8647"/>
      </w:tabs>
      <w:rPr>
        <w:rFonts w:ascii="Open Sans" w:hAnsi="Open Sans" w:cs="Open Sans"/>
        <w:noProof/>
        <w:sz w:val="14"/>
        <w:szCs w:val="14"/>
        <w:lang w:val="en-GB"/>
      </w:rPr>
    </w:pPr>
    <w:r>
      <w:rPr>
        <w:noProof/>
        <w:lang w:val="hu-HU"/>
      </w:rPr>
      <w:drawing>
        <wp:anchor distT="0" distB="0" distL="114300" distR="114300" simplePos="0" relativeHeight="251661312" behindDoc="0" locked="0" layoutInCell="1" allowOverlap="1" wp14:anchorId="13A6DE02" wp14:editId="732A7C2C">
          <wp:simplePos x="0" y="0"/>
          <wp:positionH relativeFrom="page">
            <wp:posOffset>3740785</wp:posOffset>
          </wp:positionH>
          <wp:positionV relativeFrom="paragraph">
            <wp:posOffset>45085</wp:posOffset>
          </wp:positionV>
          <wp:extent cx="97155" cy="971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62336" behindDoc="0" locked="0" layoutInCell="1" allowOverlap="1" wp14:anchorId="039FB8B7" wp14:editId="02D9928E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/>
      </w:rPr>
      <w:drawing>
        <wp:anchor distT="0" distB="0" distL="114300" distR="114300" simplePos="0" relativeHeight="251660288" behindDoc="0" locked="0" layoutInCell="1" allowOverlap="1" wp14:anchorId="217DEA9F" wp14:editId="1BCF274E">
          <wp:simplePos x="0" y="0"/>
          <wp:positionH relativeFrom="margin">
            <wp:posOffset>1489075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2" t="-192" r="-192" b="-192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>
        <w:rPr>
          <w:rStyle w:val="Hyperlink"/>
          <w:rFonts w:ascii="Open Sans" w:hAnsi="Open Sans" w:cs="Open Sans"/>
          <w:noProof/>
          <w:sz w:val="14"/>
          <w:szCs w:val="14"/>
          <w:lang w:val="en-GB"/>
        </w:rPr>
        <w:t>www.inclusion-europe.eu</w:t>
      </w:r>
    </w:hyperlink>
    <w:r>
      <w:rPr>
        <w:rFonts w:ascii="Open Sans" w:hAnsi="Open Sans" w:cs="Open Sans"/>
        <w:noProof/>
        <w:sz w:val="14"/>
        <w:szCs w:val="14"/>
        <w:lang w:val="en-GB"/>
      </w:rPr>
      <w:tab/>
      <w:t>@InclusionEurope</w:t>
    </w:r>
    <w:r>
      <w:rPr>
        <w:rFonts w:ascii="Open Sans" w:hAnsi="Open Sans" w:cs="Open Sans"/>
        <w:noProof/>
        <w:sz w:val="14"/>
        <w:szCs w:val="14"/>
        <w:lang w:val="en-GB"/>
      </w:rPr>
      <w:tab/>
      <w:t>@InclusionEurope</w:t>
    </w:r>
    <w:r>
      <w:rPr>
        <w:rFonts w:ascii="Open Sans" w:hAnsi="Open Sans" w:cs="Open Sans"/>
        <w:noProof/>
        <w:sz w:val="14"/>
        <w:szCs w:val="14"/>
        <w:lang w:val="en-GB"/>
      </w:rPr>
      <w:tab/>
      <w:t>youtube.com/InclusionEurope</w:t>
    </w:r>
  </w:p>
  <w:p w14:paraId="624318BB" w14:textId="77777777" w:rsidR="00106A17" w:rsidRPr="00710C4A" w:rsidRDefault="00106A1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609EA" w14:textId="77777777" w:rsidR="00CD3082" w:rsidRDefault="00CD3082" w:rsidP="00FE0B0B">
      <w:r>
        <w:separator/>
      </w:r>
    </w:p>
  </w:footnote>
  <w:footnote w:type="continuationSeparator" w:id="0">
    <w:p w14:paraId="39A79F4E" w14:textId="77777777" w:rsidR="00CD3082" w:rsidRDefault="00CD3082" w:rsidP="00FE0B0B">
      <w:r>
        <w:continuationSeparator/>
      </w:r>
    </w:p>
  </w:footnote>
  <w:footnote w:id="1">
    <w:p w14:paraId="3491C3D3" w14:textId="77777777" w:rsidR="00FE0B0B" w:rsidRPr="00C2341A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Decyzja Rady 2010/48/WE </w:t>
      </w:r>
      <w:hyperlink r:id="rId1" w:history="1">
        <w:r>
          <w:rPr>
            <w:rStyle w:val="Hyperlink"/>
          </w:rPr>
          <w:t>https://eur-lex.europa.eu/legal-content/PL/TXT/?uri=uriserv:OJ.L_.2010.023.01.0035.01.POL</w:t>
        </w:r>
      </w:hyperlink>
      <w:r>
        <w:t xml:space="preserve"> oraz kodeks postępowania 2010/C 340/08 </w:t>
      </w:r>
      <w:hyperlink r:id="rId2" w:history="1">
        <w:r>
          <w:rPr>
            <w:rStyle w:val="Hyperlink"/>
          </w:rPr>
          <w:t>https://eur-lex.europa.eu/LexUriServ/LexUriServ.do?uri=OJ:C:2010:340:0011:0015:PL:PDF</w:t>
        </w:r>
      </w:hyperlink>
      <w:r>
        <w:t xml:space="preserve"> </w:t>
      </w:r>
    </w:p>
  </w:footnote>
  <w:footnote w:id="2">
    <w:p w14:paraId="57124A18" w14:textId="77777777" w:rsidR="00FE0B0B" w:rsidRPr="00456837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UE ratyfikowała tę konwencję. Co to oznacza, An-Sofie Leenknecht, Europejskie Forum Niepełnosprawności </w:t>
      </w:r>
      <w:hyperlink r:id="rId3" w:history="1">
        <w:r>
          <w:rPr>
            <w:rStyle w:val="Hyperlink"/>
          </w:rPr>
          <w:t>http://www.edf-feph.org/eu-has-ratified-convention-what-does-mean</w:t>
        </w:r>
      </w:hyperlink>
      <w:r>
        <w:t xml:space="preserve"> </w:t>
      </w:r>
    </w:p>
  </w:footnote>
  <w:footnote w:id="3">
    <w:p w14:paraId="73B16FC1" w14:textId="77777777" w:rsidR="00FE0B0B" w:rsidRPr="00C2341A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Sprawiedliwość i prawa podstawowe, strona internetowa Komisji Europejskiej </w:t>
      </w:r>
      <w:hyperlink r:id="rId4" w:history="1">
        <w:r>
          <w:rPr>
            <w:rStyle w:val="Hyperlink"/>
          </w:rPr>
          <w:t>https://ec.europa.eu/info/topics/justice-and-fundamental-rights_en</w:t>
        </w:r>
      </w:hyperlink>
      <w:r>
        <w:t xml:space="preserve"> </w:t>
      </w:r>
    </w:p>
  </w:footnote>
  <w:footnote w:id="4">
    <w:p w14:paraId="791934AC" w14:textId="77777777" w:rsidR="00FE0B0B" w:rsidRPr="00FE0B0B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Karta UE, art. 26.</w:t>
      </w:r>
    </w:p>
  </w:footnote>
  <w:footnote w:id="5">
    <w:p w14:paraId="5706AA89" w14:textId="77777777" w:rsidR="00FE0B0B" w:rsidRPr="00456837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Włączenie praw podstawowych do procesu legislacyjnego UE, strona internetowa Komisji Europejskiej </w:t>
      </w:r>
      <w:hyperlink r:id="rId5" w:anchor="strategy" w:history="1">
        <w:r>
          <w:rPr>
            <w:rStyle w:val="Hyperlink"/>
          </w:rPr>
          <w:t>https://ec.europa.eu/info/aid-development-cooperation-fundamental-rights/your-rights-eu/eu-charter-fundamental-rights/application-charter/incorporating-fundamental-rights-eu-legislative-process_en#strategy</w:t>
        </w:r>
      </w:hyperlink>
      <w:r>
        <w:t xml:space="preserve">. </w:t>
      </w:r>
    </w:p>
  </w:footnote>
  <w:footnote w:id="6">
    <w:p w14:paraId="35C933F2" w14:textId="77777777" w:rsidR="00FE0B0B" w:rsidRPr="00FE0B0B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Artykuł 11 KPON.</w:t>
      </w:r>
    </w:p>
  </w:footnote>
  <w:footnote w:id="7">
    <w:p w14:paraId="631A7AA6" w14:textId="396D97CA" w:rsidR="00FE0B0B" w:rsidRPr="001839F8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The Plight of Europe's disabled under coronavirus, Milan Šveřepa, EU Observer, 21 kwietnia 2020 r. </w:t>
      </w:r>
      <w:hyperlink r:id="rId6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  <w:footnote w:id="8">
    <w:p w14:paraId="02DA8D28" w14:textId="77777777" w:rsidR="00FE0B0B" w:rsidRPr="001839F8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The Plight of Europe's disabled under coronavirus, Milan Sverepa, EU Observer, 21 kwietnia 2020 r. </w:t>
      </w:r>
      <w:hyperlink r:id="rId7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  <w:footnote w:id="9">
    <w:p w14:paraId="5ACF83A5" w14:textId="77777777" w:rsidR="009A43AB" w:rsidRPr="001839F8" w:rsidRDefault="009A43AB" w:rsidP="009A43AB">
      <w:pPr>
        <w:pStyle w:val="FootnoteText"/>
      </w:pPr>
      <w:r>
        <w:rPr>
          <w:rStyle w:val="FootnoteReference"/>
        </w:rPr>
        <w:footnoteRef/>
      </w:r>
      <w:r>
        <w:t xml:space="preserve"> The Plight of Europe's disabled under coronavirus, Milan Sverepa, EU Observer, 21 kwietnia 2020 r. </w:t>
      </w:r>
      <w:hyperlink r:id="rId8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6D71C" w14:textId="77777777" w:rsidR="00106A17" w:rsidRDefault="00106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3241F" w14:textId="77777777" w:rsidR="00106A17" w:rsidRDefault="00106A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D6BBC" w14:textId="1303555D" w:rsidR="00106A17" w:rsidRDefault="00106A17" w:rsidP="00106A17">
    <w:pPr>
      <w:tabs>
        <w:tab w:val="left" w:pos="2977"/>
        <w:tab w:val="center" w:pos="4513"/>
        <w:tab w:val="right" w:pos="9026"/>
      </w:tabs>
      <w:ind w:left="708"/>
      <w:jc w:val="right"/>
      <w:rPr>
        <w:rFonts w:ascii="Open Sans" w:hAnsi="Open Sans" w:cstheme="minorBidi"/>
        <w:b/>
        <w:noProof/>
        <w:color w:val="ED0F69"/>
        <w:sz w:val="20"/>
        <w:lang w:val="pt-PT" w:eastAsia="pt-PT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1" locked="0" layoutInCell="1" allowOverlap="1" wp14:anchorId="2BB57A31" wp14:editId="29D95E4C">
          <wp:simplePos x="0" y="0"/>
          <wp:positionH relativeFrom="margin">
            <wp:posOffset>-285115</wp:posOffset>
          </wp:positionH>
          <wp:positionV relativeFrom="paragraph">
            <wp:posOffset>-408305</wp:posOffset>
          </wp:positionV>
          <wp:extent cx="2145665" cy="1202690"/>
          <wp:effectExtent l="0" t="0" r="6985" b="0"/>
          <wp:wrapTight wrapText="bothSides">
            <wp:wrapPolygon edited="0">
              <wp:start x="0" y="0"/>
              <wp:lineTo x="0" y="21212"/>
              <wp:lineTo x="21479" y="21212"/>
              <wp:lineTo x="214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202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BB0581" w14:textId="77777777" w:rsidR="00106A17" w:rsidRDefault="00106A17" w:rsidP="00106A17">
    <w:pPr>
      <w:tabs>
        <w:tab w:val="left" w:pos="2977"/>
      </w:tabs>
      <w:rPr>
        <w:rFonts w:ascii="Open Sans" w:hAnsi="Open Sans" w:cstheme="minorBidi"/>
        <w:b/>
        <w:color w:val="000000" w:themeColor="text1"/>
        <w:spacing w:val="6"/>
        <w:sz w:val="18"/>
        <w:szCs w:val="18"/>
        <w:lang w:val="en-GB"/>
      </w:rPr>
    </w:pPr>
    <w:r>
      <w:rPr>
        <w:rFonts w:ascii="Open Sans" w:hAnsi="Open Sans" w:cstheme="minorBidi"/>
        <w:b/>
        <w:noProof/>
        <w:color w:val="ED0F69"/>
        <w:spacing w:val="10"/>
        <w:sz w:val="18"/>
        <w:szCs w:val="18"/>
        <w:lang w:val="pt-PT" w:eastAsia="pt-PT"/>
      </w:rPr>
      <w:tab/>
    </w:r>
    <w:r>
      <w:rPr>
        <w:rFonts w:ascii="Open Sans" w:hAnsi="Open Sans" w:cstheme="minorBidi"/>
        <w:b/>
        <w:noProof/>
        <w:color w:val="000000" w:themeColor="text1"/>
        <w:spacing w:val="6"/>
        <w:sz w:val="18"/>
        <w:szCs w:val="18"/>
        <w:lang w:val="pt-PT" w:eastAsia="pt-PT"/>
      </w:rPr>
      <w:t>Ambitions. Rights. Belonging.</w:t>
    </w:r>
    <w:r>
      <w:rPr>
        <w:rFonts w:ascii="Open Sans" w:hAnsi="Open Sans" w:cstheme="minorBidi"/>
        <w:b/>
        <w:color w:val="000000" w:themeColor="text1"/>
        <w:spacing w:val="6"/>
        <w:sz w:val="18"/>
        <w:szCs w:val="18"/>
        <w:lang w:val="en-GB"/>
      </w:rPr>
      <w:t xml:space="preserve"> </w:t>
    </w:r>
  </w:p>
  <w:p w14:paraId="54CECC5C" w14:textId="01EE9CC4" w:rsidR="00106A17" w:rsidRDefault="00106A17">
    <w:pPr>
      <w:pStyle w:val="Header"/>
    </w:pPr>
  </w:p>
  <w:p w14:paraId="3A00C5B9" w14:textId="4AAE1EBA" w:rsidR="00106A17" w:rsidRDefault="00106A17">
    <w:pPr>
      <w:pStyle w:val="Header"/>
    </w:pPr>
  </w:p>
  <w:p w14:paraId="14DDB238" w14:textId="77777777" w:rsidR="00106A17" w:rsidRDefault="00106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A6111"/>
    <w:multiLevelType w:val="hybridMultilevel"/>
    <w:tmpl w:val="7E90E09C"/>
    <w:lvl w:ilvl="0" w:tplc="54EE9098">
      <w:start w:val="26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0B"/>
    <w:rsid w:val="00061312"/>
    <w:rsid w:val="00106A17"/>
    <w:rsid w:val="00141CDD"/>
    <w:rsid w:val="003712C2"/>
    <w:rsid w:val="003D602A"/>
    <w:rsid w:val="00710C4A"/>
    <w:rsid w:val="00714865"/>
    <w:rsid w:val="008A195F"/>
    <w:rsid w:val="009A43AB"/>
    <w:rsid w:val="00CD3082"/>
    <w:rsid w:val="00E55382"/>
    <w:rsid w:val="00E60F7B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6EC8B"/>
  <w15:chartTrackingRefBased/>
  <w15:docId w15:val="{EE9EE0E4-0B6B-4C09-A80B-39C3A369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Open Sans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B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B0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FE0B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B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B0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B0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E0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BE"/>
    </w:rPr>
  </w:style>
  <w:style w:type="paragraph" w:styleId="ListParagraph">
    <w:name w:val="List Paragraph"/>
    <w:basedOn w:val="Normal"/>
    <w:uiPriority w:val="34"/>
    <w:qFormat/>
    <w:rsid w:val="00FE0B0B"/>
    <w:pPr>
      <w:ind w:left="720"/>
      <w:contextualSpacing/>
    </w:pPr>
  </w:style>
  <w:style w:type="table" w:styleId="TableGrid">
    <w:name w:val="Table Grid"/>
    <w:basedOn w:val="TableNormal"/>
    <w:uiPriority w:val="39"/>
    <w:rsid w:val="00FE0B0B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C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C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inclusion-europe.eu/coronavirus-pandemic/" TargetMode="External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hyperlink" Target="https://www.inclusion-europe.eu/coronavirus-pandemic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observer.com/opinion/148118" TargetMode="External"/><Relationship Id="rId3" Type="http://schemas.openxmlformats.org/officeDocument/2006/relationships/hyperlink" Target="http://www.edf-feph.org/eu-has-ratified-convention-what-does-mean" TargetMode="External"/><Relationship Id="rId7" Type="http://schemas.openxmlformats.org/officeDocument/2006/relationships/hyperlink" Target="https://euobserver.com/opinion/148118" TargetMode="External"/><Relationship Id="rId2" Type="http://schemas.openxmlformats.org/officeDocument/2006/relationships/hyperlink" Target="https://eur-lex.europa.eu/LexUriServ/LexUriServ.do?uri=OJ:C:2010:340:0011:0015:EN:PDF" TargetMode="External"/><Relationship Id="rId1" Type="http://schemas.openxmlformats.org/officeDocument/2006/relationships/hyperlink" Target="https://eur-lex.europa.eu/legal-content/EN/TXT/?uri=uriserv:OJ.L_.2010.023.01.0035.01.ENG" TargetMode="External"/><Relationship Id="rId6" Type="http://schemas.openxmlformats.org/officeDocument/2006/relationships/hyperlink" Target="https://euobserver.com/opinion/148118" TargetMode="External"/><Relationship Id="rId5" Type="http://schemas.openxmlformats.org/officeDocument/2006/relationships/hyperlink" Target="https://ec.europa.eu/info/aid-development-cooperation-fundamental-rights/your-rights-eu/eu-charter-fundamental-rights/application-charter/incorporating-fundamental-rights-eu-legislative-process_en" TargetMode="External"/><Relationship Id="rId4" Type="http://schemas.openxmlformats.org/officeDocument/2006/relationships/hyperlink" Target="https://ec.europa.eu/info/topics/justice-and-fundamental-rights_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2AE81-68FB-4864-AE7B-25F271071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BE213-A6BF-49F0-B57A-B8FA3847E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4ED22-BE14-4E81-B0C7-D6DF7A835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Helen Portal</cp:lastModifiedBy>
  <cp:revision>6</cp:revision>
  <dcterms:created xsi:type="dcterms:W3CDTF">2020-05-07T09:14:00Z</dcterms:created>
  <dcterms:modified xsi:type="dcterms:W3CDTF">2020-06-16T13:19:00Z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