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9E8A3" w14:textId="12A7E0DC" w:rsidR="00FE0B0B" w:rsidRPr="00FE0B0B" w:rsidRDefault="00FE0B0B" w:rsidP="00FE0B0B">
      <w:pPr>
        <w:jc w:val="center"/>
        <w:rPr>
          <w:rFonts w:ascii="Cambria" w:hAnsi="Cambria"/>
          <w:b/>
          <w:bCs/>
          <w:sz w:val="32"/>
          <w:szCs w:val="32"/>
        </w:rPr>
      </w:pPr>
      <w:r>
        <w:rPr>
          <w:rFonts w:ascii="Cambria" w:hAnsi="Cambria"/>
          <w:b/>
          <w:bCs/>
          <w:sz w:val="32"/>
          <w:szCs w:val="32"/>
        </w:rPr>
        <w:t xml:space="preserve">Petiție privind apărarea drepturilor persoanelor cu dizabilități intelectuale și ale familiilor acestora în perioada crizei cauzate de COVID-19. </w:t>
      </w:r>
    </w:p>
    <w:p w14:paraId="4A0E5F19" w14:textId="77777777" w:rsidR="00FE0B0B" w:rsidRPr="00FE0B0B" w:rsidRDefault="00FE0B0B" w:rsidP="00FE0B0B">
      <w:pPr>
        <w:jc w:val="both"/>
        <w:rPr>
          <w:rFonts w:ascii="Cambria" w:hAnsi="Cambria"/>
          <w:sz w:val="24"/>
          <w:szCs w:val="24"/>
          <w:lang w:val="en-US"/>
        </w:rPr>
      </w:pPr>
    </w:p>
    <w:p w14:paraId="5B5FD106" w14:textId="77777777" w:rsidR="00FE0B0B" w:rsidRPr="00FE0B0B" w:rsidRDefault="00FE0B0B" w:rsidP="00FE0B0B">
      <w:pPr>
        <w:jc w:val="both"/>
        <w:rPr>
          <w:rFonts w:ascii="Cambria" w:hAnsi="Cambria"/>
          <w:sz w:val="24"/>
          <w:szCs w:val="24"/>
          <w:lang w:val="en-US"/>
        </w:rPr>
      </w:pPr>
    </w:p>
    <w:p w14:paraId="7A784EAB" w14:textId="77777777" w:rsidR="00FE0B0B" w:rsidRPr="00FE0B0B" w:rsidRDefault="00FE0B0B" w:rsidP="00FE0B0B">
      <w:pPr>
        <w:jc w:val="both"/>
        <w:rPr>
          <w:rFonts w:ascii="Cambria" w:hAnsi="Cambria"/>
          <w:sz w:val="24"/>
          <w:szCs w:val="24"/>
          <w:lang w:val="en-US"/>
        </w:rPr>
      </w:pPr>
    </w:p>
    <w:p w14:paraId="48E8FD72" w14:textId="77777777" w:rsidR="00FE0B0B" w:rsidRPr="00FE0B0B" w:rsidRDefault="00FE0B0B" w:rsidP="00FE0B0B">
      <w:pPr>
        <w:jc w:val="both"/>
        <w:rPr>
          <w:rFonts w:ascii="Cambria" w:hAnsi="Cambria"/>
          <w:sz w:val="24"/>
          <w:szCs w:val="24"/>
          <w:lang w:val="en-US"/>
        </w:rPr>
      </w:pPr>
    </w:p>
    <w:p w14:paraId="2D4FD27C" w14:textId="77777777" w:rsidR="00FE0B0B" w:rsidRPr="00FE0B0B" w:rsidRDefault="00FE0B0B" w:rsidP="00FE0B0B">
      <w:pPr>
        <w:jc w:val="both"/>
        <w:rPr>
          <w:rFonts w:ascii="Cambria" w:hAnsi="Cambria"/>
          <w:sz w:val="24"/>
          <w:szCs w:val="24"/>
        </w:rPr>
      </w:pPr>
      <w:r>
        <w:rPr>
          <w:rFonts w:ascii="Cambria" w:hAnsi="Cambria"/>
          <w:sz w:val="24"/>
          <w:szCs w:val="24"/>
        </w:rPr>
        <w:t xml:space="preserve">Întrucât Uniunea Europeană (UE) a ratificat </w:t>
      </w:r>
      <w:r>
        <w:rPr>
          <w:rFonts w:ascii="Cambria" w:hAnsi="Cambria"/>
          <w:b/>
          <w:bCs/>
          <w:sz w:val="24"/>
          <w:szCs w:val="24"/>
        </w:rPr>
        <w:t>Convenția Organizației Națiunilor Unite (ONU) privind drepturile persoanelor cu handicap (CNUDPH)</w:t>
      </w:r>
      <w:r>
        <w:rPr>
          <w:rFonts w:ascii="Cambria" w:hAnsi="Cambria"/>
          <w:sz w:val="24"/>
          <w:szCs w:val="24"/>
        </w:rPr>
        <w:t xml:space="preserve"> și a aderat la aceasta în decembrie 2010, UE are responsabilitatea de a asigura respectarea tuturor drepturilor consacrate în convenție, în măsura competențelor sale</w:t>
      </w:r>
      <w:r w:rsidRPr="00FE0B0B">
        <w:rPr>
          <w:rStyle w:val="FootnoteReference"/>
          <w:rFonts w:ascii="Cambria" w:hAnsi="Cambria"/>
          <w:sz w:val="24"/>
          <w:szCs w:val="24"/>
          <w:lang w:val="en-US"/>
        </w:rPr>
        <w:footnoteReference w:id="1"/>
      </w:r>
      <w:r>
        <w:rPr>
          <w:rFonts w:ascii="Cambria" w:hAnsi="Cambria"/>
          <w:sz w:val="24"/>
          <w:szCs w:val="24"/>
        </w:rPr>
        <w:t xml:space="preserve"> și în domeniile sale de politică</w:t>
      </w:r>
      <w:r w:rsidRPr="00FE0B0B">
        <w:rPr>
          <w:rStyle w:val="FootnoteReference"/>
          <w:rFonts w:ascii="Cambria" w:hAnsi="Cambria"/>
          <w:sz w:val="24"/>
          <w:szCs w:val="24"/>
          <w:lang w:val="en-US"/>
        </w:rPr>
        <w:footnoteReference w:id="2"/>
      </w:r>
      <w:r>
        <w:rPr>
          <w:rFonts w:ascii="Cambria" w:hAnsi="Cambria"/>
          <w:sz w:val="24"/>
          <w:szCs w:val="24"/>
        </w:rPr>
        <w:t xml:space="preserve">.  </w:t>
      </w:r>
    </w:p>
    <w:p w14:paraId="6A4AB13E" w14:textId="77777777" w:rsidR="00FE0B0B" w:rsidRPr="00FE0B0B" w:rsidRDefault="00FE0B0B" w:rsidP="00FE0B0B">
      <w:pPr>
        <w:jc w:val="both"/>
        <w:rPr>
          <w:rFonts w:ascii="Cambria" w:hAnsi="Cambria"/>
          <w:sz w:val="24"/>
          <w:szCs w:val="24"/>
          <w:lang w:val="en-US"/>
        </w:rPr>
      </w:pPr>
    </w:p>
    <w:p w14:paraId="4E7E7B54" w14:textId="77777777" w:rsidR="00FE0B0B" w:rsidRPr="00FE0B0B" w:rsidRDefault="00FE0B0B" w:rsidP="00FE0B0B">
      <w:pPr>
        <w:jc w:val="both"/>
        <w:rPr>
          <w:rFonts w:ascii="Cambria" w:hAnsi="Cambria"/>
          <w:sz w:val="24"/>
          <w:szCs w:val="24"/>
        </w:rPr>
      </w:pPr>
      <w:r>
        <w:rPr>
          <w:rFonts w:ascii="Cambria" w:hAnsi="Cambria"/>
          <w:sz w:val="24"/>
          <w:szCs w:val="24"/>
        </w:rPr>
        <w:t xml:space="preserve">Justiția și drepturile fundamentale reprezintă unul dintre domeniile de politică ale UE. </w:t>
      </w:r>
      <w:r>
        <w:rPr>
          <w:rStyle w:val="Strong"/>
          <w:rFonts w:ascii="Cambria" w:hAnsi="Cambria"/>
          <w:sz w:val="24"/>
          <w:szCs w:val="24"/>
        </w:rPr>
        <w:t>Carta drepturilor fundamentale a Uniunii Europene</w:t>
      </w:r>
      <w:r>
        <w:rPr>
          <w:rFonts w:ascii="Cambria" w:hAnsi="Cambria"/>
          <w:sz w:val="24"/>
          <w:szCs w:val="24"/>
        </w:rPr>
        <w:t xml:space="preserve"> reunește toate drepturile personale, civice, politice, economice și sociale de care beneficiază persoanele în Uniune</w:t>
      </w:r>
      <w:r w:rsidRPr="00FE0B0B">
        <w:rPr>
          <w:rStyle w:val="FootnoteReference"/>
          <w:rFonts w:ascii="Cambria" w:hAnsi="Cambria"/>
          <w:sz w:val="24"/>
          <w:szCs w:val="24"/>
          <w:lang w:val="en-US"/>
        </w:rPr>
        <w:footnoteReference w:id="3"/>
      </w:r>
      <w:r>
        <w:rPr>
          <w:rFonts w:ascii="Cambria" w:hAnsi="Cambria"/>
          <w:sz w:val="24"/>
          <w:szCs w:val="24"/>
        </w:rPr>
        <w:t xml:space="preserve">. </w:t>
      </w:r>
    </w:p>
    <w:p w14:paraId="654E1D41" w14:textId="77777777" w:rsidR="00FE0B0B" w:rsidRPr="0045042D" w:rsidRDefault="00FE0B0B" w:rsidP="00FE0B0B">
      <w:pPr>
        <w:jc w:val="both"/>
        <w:rPr>
          <w:rFonts w:ascii="Cambria" w:hAnsi="Cambria"/>
          <w:sz w:val="24"/>
          <w:szCs w:val="24"/>
        </w:rPr>
      </w:pPr>
    </w:p>
    <w:p w14:paraId="00C53B5B" w14:textId="21631ABC" w:rsidR="00FE0B0B" w:rsidRPr="00FE0B0B" w:rsidRDefault="00FE0B0B" w:rsidP="00FE0B0B">
      <w:pPr>
        <w:jc w:val="both"/>
        <w:rPr>
          <w:rFonts w:ascii="Cambria" w:hAnsi="Cambria"/>
          <w:sz w:val="24"/>
          <w:szCs w:val="24"/>
        </w:rPr>
      </w:pPr>
      <w:r>
        <w:rPr>
          <w:rFonts w:ascii="Cambria" w:hAnsi="Cambria"/>
          <w:sz w:val="24"/>
          <w:szCs w:val="24"/>
        </w:rPr>
        <w:t>Articolul 26 din Carta UE menționează în mod specific că:</w:t>
      </w:r>
    </w:p>
    <w:p w14:paraId="2982C563" w14:textId="77777777" w:rsidR="00FE0B0B" w:rsidRPr="00FE0B0B" w:rsidRDefault="00FE0B0B" w:rsidP="00FE0B0B">
      <w:pPr>
        <w:ind w:left="720"/>
        <w:jc w:val="both"/>
        <w:rPr>
          <w:rFonts w:ascii="Cambria" w:hAnsi="Cambria"/>
          <w:i/>
          <w:iCs/>
          <w:sz w:val="24"/>
          <w:szCs w:val="24"/>
        </w:rPr>
      </w:pPr>
      <w:r>
        <w:rPr>
          <w:rFonts w:ascii="Cambria" w:hAnsi="Cambria"/>
          <w:i/>
          <w:iCs/>
          <w:sz w:val="24"/>
          <w:szCs w:val="24"/>
        </w:rPr>
        <w:t>„Uniunea recunoaște și respectă dreptul persoanelor cu handicap de a beneficia de măsuri care să le asigure autonomia, integrarea socială și profesională, precum și participarea la viața comunității.”</w:t>
      </w:r>
      <w:r w:rsidRPr="00FE0B0B">
        <w:rPr>
          <w:rStyle w:val="FootnoteReference"/>
          <w:rFonts w:ascii="Cambria" w:hAnsi="Cambria"/>
          <w:i/>
          <w:iCs/>
          <w:sz w:val="24"/>
          <w:szCs w:val="24"/>
          <w:lang w:val="en-US"/>
        </w:rPr>
        <w:footnoteReference w:id="4"/>
      </w:r>
    </w:p>
    <w:p w14:paraId="18DB2AB4" w14:textId="77777777" w:rsidR="00FE0B0B" w:rsidRPr="0045042D" w:rsidRDefault="00FE0B0B" w:rsidP="00FE0B0B">
      <w:pPr>
        <w:jc w:val="both"/>
        <w:rPr>
          <w:rFonts w:ascii="Cambria" w:hAnsi="Cambria"/>
          <w:sz w:val="24"/>
          <w:szCs w:val="24"/>
        </w:rPr>
      </w:pPr>
    </w:p>
    <w:p w14:paraId="2B020229" w14:textId="77777777" w:rsidR="00FE0B0B" w:rsidRPr="00FE0B0B" w:rsidRDefault="00FE0B0B" w:rsidP="00FE0B0B">
      <w:pPr>
        <w:jc w:val="both"/>
        <w:rPr>
          <w:rFonts w:ascii="Cambria" w:hAnsi="Cambria"/>
          <w:sz w:val="24"/>
          <w:szCs w:val="24"/>
        </w:rPr>
      </w:pPr>
      <w:r>
        <w:rPr>
          <w:rFonts w:ascii="Cambria" w:hAnsi="Cambria"/>
          <w:sz w:val="24"/>
          <w:szCs w:val="24"/>
        </w:rPr>
        <w:t xml:space="preserve">Așa cum se menționează pe site-ul web al UE, „carta nu stabilește o competență generală a Comisiei Europeană de a interveni în domeniul drepturilor fundamentale. Aceasta poate interveni doar în ceea ce privește dreptul Uniunii (de exemplu, atunci când se adoptă acte legislative ale UE sau </w:t>
      </w:r>
      <w:r>
        <w:rPr>
          <w:rFonts w:ascii="Cambria" w:hAnsi="Cambria"/>
          <w:b/>
          <w:bCs/>
          <w:sz w:val="24"/>
          <w:szCs w:val="24"/>
        </w:rPr>
        <w:t>când o măsură națională aplică dreptul Uniunii într-un mod incompatibil cu dispozițiile cartei</w:t>
      </w:r>
      <w:r>
        <w:rPr>
          <w:rFonts w:ascii="Cambria" w:hAnsi="Cambria"/>
          <w:sz w:val="24"/>
          <w:szCs w:val="24"/>
        </w:rPr>
        <w:t>)”</w:t>
      </w:r>
      <w:r w:rsidRPr="00FE0B0B">
        <w:rPr>
          <w:rStyle w:val="FootnoteReference"/>
          <w:rFonts w:ascii="Cambria" w:hAnsi="Cambria"/>
          <w:sz w:val="24"/>
          <w:szCs w:val="24"/>
          <w:lang w:val="en-US"/>
        </w:rPr>
        <w:footnoteReference w:id="5"/>
      </w:r>
      <w:r>
        <w:rPr>
          <w:rFonts w:ascii="Cambria" w:hAnsi="Cambria"/>
          <w:sz w:val="24"/>
          <w:szCs w:val="24"/>
        </w:rPr>
        <w:t xml:space="preserve">. </w:t>
      </w:r>
    </w:p>
    <w:p w14:paraId="0719BB06" w14:textId="77777777" w:rsidR="00FE0B0B" w:rsidRPr="0045042D" w:rsidRDefault="00FE0B0B" w:rsidP="00FE0B0B">
      <w:pPr>
        <w:jc w:val="both"/>
        <w:rPr>
          <w:rFonts w:ascii="Cambria" w:hAnsi="Cambria"/>
          <w:sz w:val="24"/>
          <w:szCs w:val="24"/>
        </w:rPr>
      </w:pPr>
    </w:p>
    <w:p w14:paraId="01288207" w14:textId="77777777" w:rsidR="00FE0B0B" w:rsidRPr="00FE0B0B" w:rsidRDefault="00FE0B0B" w:rsidP="00FE0B0B">
      <w:pPr>
        <w:jc w:val="both"/>
        <w:rPr>
          <w:rFonts w:ascii="Cambria" w:hAnsi="Cambria"/>
          <w:sz w:val="24"/>
          <w:szCs w:val="24"/>
        </w:rPr>
      </w:pPr>
      <w:r>
        <w:rPr>
          <w:rFonts w:ascii="Cambria" w:hAnsi="Cambria"/>
          <w:sz w:val="24"/>
          <w:szCs w:val="24"/>
        </w:rPr>
        <w:lastRenderedPageBreak/>
        <w:t xml:space="preserve">Având în vedere că în prezent ne confruntăm cu o epidemie și o criză sanitară, am dori să ne concentrăm în special – chiar dacă toate articolele CNUDPH sunt în egală măsură importante în această privință – pe articolul 11 din CNUDPH, care este deosebit de relevant în acest moment. </w:t>
      </w:r>
    </w:p>
    <w:p w14:paraId="0A110227" w14:textId="77777777" w:rsidR="00FE0B0B" w:rsidRPr="00FE0B0B" w:rsidRDefault="00FE0B0B" w:rsidP="00FE0B0B">
      <w:pPr>
        <w:jc w:val="both"/>
        <w:rPr>
          <w:rFonts w:ascii="Cambria" w:hAnsi="Cambria"/>
          <w:sz w:val="24"/>
          <w:szCs w:val="24"/>
        </w:rPr>
      </w:pPr>
      <w:r>
        <w:rPr>
          <w:rFonts w:ascii="Cambria" w:hAnsi="Cambria"/>
          <w:sz w:val="24"/>
          <w:szCs w:val="24"/>
        </w:rPr>
        <w:t xml:space="preserve">Într-adevăr, articolul </w:t>
      </w:r>
      <w:r>
        <w:rPr>
          <w:rFonts w:ascii="Cambria" w:hAnsi="Cambria"/>
          <w:b/>
          <w:bCs/>
          <w:sz w:val="24"/>
          <w:szCs w:val="24"/>
        </w:rPr>
        <w:t>11 din CNUDPH menționează în mod specific situațiile de risc și urgențele umanitare</w:t>
      </w:r>
      <w:r>
        <w:rPr>
          <w:rFonts w:ascii="Cambria" w:hAnsi="Cambria"/>
          <w:sz w:val="24"/>
          <w:szCs w:val="24"/>
        </w:rPr>
        <w:t xml:space="preserve">: </w:t>
      </w:r>
    </w:p>
    <w:p w14:paraId="498C4575" w14:textId="77777777" w:rsidR="00FE0B0B" w:rsidRPr="00FE0B0B" w:rsidRDefault="00FE0B0B" w:rsidP="00FE0B0B">
      <w:pPr>
        <w:pStyle w:val="NormalWeb"/>
        <w:spacing w:before="0" w:beforeAutospacing="0" w:after="0" w:afterAutospacing="0"/>
        <w:ind w:left="720"/>
        <w:jc w:val="both"/>
        <w:rPr>
          <w:rFonts w:ascii="Cambria" w:hAnsi="Cambria"/>
          <w:i/>
          <w:iCs/>
        </w:rPr>
      </w:pPr>
      <w:r>
        <w:rPr>
          <w:rFonts w:ascii="Cambria" w:hAnsi="Cambria"/>
          <w:i/>
          <w:iCs/>
        </w:rPr>
        <w:t>„Statele părți adoptă toate măsurile necesare, conform obligațiilor care le revin în temeiul dreptului internațional, inclusiv al dreptului internațional umanitar și al dreptului internațional al drepturilor omului, pentru a garanta protecția și siguranța persoanelor cu handicap în situații de risc, inclusiv în situații de conflict armat, urgențe umanitare și cazuri de dezastre naturale.”</w:t>
      </w:r>
      <w:r w:rsidRPr="00FE0B0B">
        <w:rPr>
          <w:rStyle w:val="FootnoteReference"/>
          <w:rFonts w:ascii="Cambria" w:hAnsi="Cambria"/>
          <w:i/>
          <w:iCs/>
          <w:lang w:val="en-US"/>
        </w:rPr>
        <w:footnoteReference w:id="6"/>
      </w:r>
    </w:p>
    <w:p w14:paraId="538EAE89" w14:textId="77777777" w:rsidR="009A43AB" w:rsidRPr="0045042D" w:rsidRDefault="009A43AB" w:rsidP="00FE0B0B">
      <w:pPr>
        <w:pStyle w:val="NormalWeb"/>
        <w:spacing w:before="0" w:beforeAutospacing="0" w:after="0" w:afterAutospacing="0"/>
        <w:jc w:val="both"/>
        <w:rPr>
          <w:rFonts w:ascii="Cambria" w:hAnsi="Cambria"/>
        </w:rPr>
      </w:pPr>
    </w:p>
    <w:p w14:paraId="44AE8A1B" w14:textId="77777777" w:rsidR="00FE0B0B" w:rsidRPr="00FE0B0B" w:rsidRDefault="00FE0B0B" w:rsidP="00FE0B0B">
      <w:pPr>
        <w:jc w:val="both"/>
        <w:rPr>
          <w:rFonts w:ascii="Cambria" w:hAnsi="Cambria" w:cs="Open Sans"/>
          <w:sz w:val="24"/>
          <w:szCs w:val="24"/>
        </w:rPr>
      </w:pPr>
      <w:r>
        <w:rPr>
          <w:rFonts w:ascii="Cambria" w:hAnsi="Cambria"/>
          <w:sz w:val="24"/>
          <w:szCs w:val="24"/>
        </w:rPr>
        <w:t>Din 1988,</w:t>
      </w:r>
      <w:r>
        <w:rPr>
          <w:rFonts w:ascii="Cambria" w:hAnsi="Cambria"/>
          <w:b/>
          <w:bCs/>
          <w:sz w:val="24"/>
          <w:szCs w:val="24"/>
        </w:rPr>
        <w:t xml:space="preserve"> Inclusion Europe reprezintă persoanele cu dizabilități intelectuale și familiile acestora din Europa și luptă pentru drepturile lor egale și incluziunea lor deplină în toate aspectele vieții</w:t>
      </w:r>
      <w:r>
        <w:rPr>
          <w:rFonts w:ascii="Cambria" w:hAnsi="Cambria"/>
          <w:sz w:val="24"/>
          <w:szCs w:val="24"/>
        </w:rPr>
        <w:t>.</w:t>
      </w:r>
    </w:p>
    <w:p w14:paraId="76F516A1" w14:textId="2320E219" w:rsidR="00FE0B0B" w:rsidRPr="00141CDD" w:rsidRDefault="00FE0B0B" w:rsidP="00FE0B0B">
      <w:pPr>
        <w:jc w:val="both"/>
        <w:rPr>
          <w:rFonts w:ascii="Cambria" w:hAnsi="Cambria" w:cs="Open Sans"/>
          <w:sz w:val="24"/>
          <w:szCs w:val="24"/>
        </w:rPr>
      </w:pPr>
      <w:r>
        <w:rPr>
          <w:rFonts w:ascii="Cambria" w:hAnsi="Cambria"/>
          <w:sz w:val="24"/>
          <w:szCs w:val="24"/>
        </w:rPr>
        <w:t xml:space="preserve">În prezent, Inclusion Europe reprezintă 79 de organizații membre din 39 de țări europene. </w:t>
      </w:r>
    </w:p>
    <w:p w14:paraId="3372231D" w14:textId="77777777" w:rsidR="00FE0B0B" w:rsidRPr="00FE0B0B" w:rsidRDefault="00FE0B0B" w:rsidP="00FE0B0B">
      <w:pPr>
        <w:jc w:val="both"/>
        <w:rPr>
          <w:rFonts w:ascii="Cambria" w:hAnsi="Cambria" w:cs="Open Sans"/>
          <w:sz w:val="24"/>
          <w:szCs w:val="24"/>
        </w:rPr>
      </w:pPr>
      <w:r>
        <w:rPr>
          <w:rFonts w:ascii="Cambria" w:hAnsi="Cambria"/>
          <w:sz w:val="24"/>
          <w:szCs w:val="24"/>
        </w:rPr>
        <w:t>Încă de la începutul situației de urgență cauzate de Covid-19, Inclusion Europe a avut un rol activ în informarea membrilor noștri, în oferirea de informații (</w:t>
      </w:r>
      <w:hyperlink r:id="rId9" w:anchor="1584977061628-16fcec00-a699" w:history="1">
        <w:r>
          <w:rPr>
            <w:rStyle w:val="Hyperlink"/>
            <w:rFonts w:ascii="Cambria" w:hAnsi="Cambria"/>
            <w:sz w:val="24"/>
            <w:szCs w:val="24"/>
          </w:rPr>
          <w:t>ușor de citit</w:t>
        </w:r>
      </w:hyperlink>
      <w:r>
        <w:rPr>
          <w:rFonts w:ascii="Cambria" w:hAnsi="Cambria"/>
          <w:sz w:val="24"/>
          <w:szCs w:val="24"/>
        </w:rPr>
        <w:t>) și (</w:t>
      </w:r>
      <w:hyperlink r:id="rId10" w:anchor="1584977115025-1ebd5d7f-b126" w:history="1">
        <w:r>
          <w:rPr>
            <w:rStyle w:val="Hyperlink"/>
            <w:rFonts w:ascii="Cambria" w:hAnsi="Cambria"/>
            <w:sz w:val="24"/>
            <w:szCs w:val="24"/>
          </w:rPr>
          <w:t>colectarea de informații</w:t>
        </w:r>
      </w:hyperlink>
      <w:r>
        <w:rPr>
          <w:rFonts w:ascii="Cambria" w:hAnsi="Cambria"/>
          <w:sz w:val="24"/>
          <w:szCs w:val="24"/>
        </w:rPr>
        <w:t xml:space="preserve">) de la membrii noștri privind evenimentele care au avut loc în statul membru respectiv. </w:t>
      </w:r>
    </w:p>
    <w:p w14:paraId="3CB9D67E" w14:textId="77777777" w:rsidR="00FE0B0B" w:rsidRPr="0045042D" w:rsidRDefault="00FE0B0B" w:rsidP="00FE0B0B">
      <w:pPr>
        <w:jc w:val="both"/>
        <w:rPr>
          <w:rFonts w:ascii="Cambria" w:hAnsi="Cambria" w:cs="Open Sans"/>
          <w:sz w:val="24"/>
          <w:szCs w:val="24"/>
          <w:lang w:val="fr-BE"/>
        </w:rPr>
      </w:pPr>
    </w:p>
    <w:p w14:paraId="40667A23" w14:textId="6C7A8E67" w:rsidR="00FE0B0B" w:rsidRPr="009A43AB" w:rsidRDefault="00FE0B0B" w:rsidP="00FE0B0B">
      <w:pPr>
        <w:jc w:val="both"/>
        <w:rPr>
          <w:rFonts w:ascii="Cambria" w:hAnsi="Cambria"/>
          <w:b/>
          <w:bCs/>
          <w:sz w:val="24"/>
          <w:szCs w:val="24"/>
        </w:rPr>
      </w:pPr>
      <w:r>
        <w:rPr>
          <w:rFonts w:ascii="Cambria" w:hAnsi="Cambria"/>
          <w:b/>
          <w:bCs/>
          <w:sz w:val="24"/>
          <w:szCs w:val="24"/>
        </w:rPr>
        <w:t xml:space="preserve">Dorim să atragem atenția Comisiei pentru petiții asupra mai multor cazuri de incompatibilitate a legilor naționale fie cu CNUDPH, fie cu Carta drepturilor fundamentale a UE și să solicităm ca aceasta să analizeze măsurile care trebuie să fie luate pentru protejarea persoanelor cu dizabilități intelectuale și a familiilor acestora. </w:t>
      </w:r>
    </w:p>
    <w:p w14:paraId="5F22D760" w14:textId="77777777" w:rsidR="00FE0B0B" w:rsidRPr="0045042D" w:rsidRDefault="00FE0B0B" w:rsidP="00FE0B0B">
      <w:pPr>
        <w:jc w:val="both"/>
        <w:rPr>
          <w:rFonts w:ascii="Cambria" w:hAnsi="Cambria" w:cs="Open Sans"/>
          <w:b/>
          <w:bCs/>
          <w:sz w:val="24"/>
          <w:szCs w:val="24"/>
          <w:lang w:val="fr-BE"/>
        </w:rPr>
      </w:pPr>
    </w:p>
    <w:p w14:paraId="56AD7516" w14:textId="77777777" w:rsidR="00FE0B0B" w:rsidRPr="0045042D" w:rsidRDefault="00FE0B0B" w:rsidP="00FE0B0B">
      <w:pPr>
        <w:jc w:val="both"/>
        <w:rPr>
          <w:rFonts w:ascii="Cambria" w:hAnsi="Cambria"/>
          <w:b/>
          <w:bCs/>
          <w:sz w:val="24"/>
          <w:szCs w:val="24"/>
          <w:u w:val="single"/>
          <w:lang w:val="fr-BE"/>
        </w:rPr>
      </w:pPr>
    </w:p>
    <w:p w14:paraId="5771A675"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 xml:space="preserve">Situația pe care o observăm în unele țări: </w:t>
      </w:r>
    </w:p>
    <w:p w14:paraId="3E0BABB3" w14:textId="77777777" w:rsidR="00FE0B0B" w:rsidRPr="00FE0B0B" w:rsidRDefault="00FE0B0B" w:rsidP="00FE0B0B">
      <w:pPr>
        <w:jc w:val="both"/>
        <w:rPr>
          <w:rFonts w:ascii="Cambria" w:hAnsi="Cambria"/>
          <w:sz w:val="24"/>
          <w:szCs w:val="24"/>
          <w:lang w:val="en-US"/>
        </w:rPr>
      </w:pPr>
    </w:p>
    <w:p w14:paraId="60C6B9A8"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Persoane cu dizabilități intelectuale bolnave de Covid-19</w:t>
      </w:r>
    </w:p>
    <w:p w14:paraId="42CD54BF" w14:textId="7455C94D"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Persoane care nu beneficiază de tratament medical pentru afecțiunile de care suferă pentru că sunt prea „dificile”; </w:t>
      </w:r>
    </w:p>
    <w:p w14:paraId="5A3900BF"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Comunicare: nicio posibilitate de a înțelege ce se întâmplă, nivel înalt de stres și anxietate și nicio posibilitate de a fi însoțite de o persoană care să explice ce se întâmplă; </w:t>
      </w:r>
    </w:p>
    <w:p w14:paraId="57DE85AA" w14:textId="69D280E1"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lastRenderedPageBreak/>
        <w:t>Instrucțiuni de triaj foarte șocante la nivelul spitalelor, care au scopul foarte clar de a nu trata persoanele cu dizabilități deoarece acestea au șanse foarte mici să se vindece iar viețile lor în orice caz „nu merită”.</w:t>
      </w:r>
    </w:p>
    <w:p w14:paraId="4BA72582" w14:textId="5028474C" w:rsid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Accesul la asistența medicală de care persoanele beneficiau zilnic înainte de criză</w:t>
      </w:r>
    </w:p>
    <w:p w14:paraId="78636765" w14:textId="56F7B2D9"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Persoanele cu dizabilități nu mai beneficiază de niciun sprijin, așa cum afirmă Alianța Internațională a Persoanelor cu Dizabilități: „persoanele cu dizabilități nu mor numai din cauza coronavirusului, murim și din cauza absenței serviciilor, cauzată de lipsa sprijinului social și economic”. </w:t>
      </w:r>
    </w:p>
    <w:p w14:paraId="0EBAA247" w14:textId="5571FE54"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Copiii nu beneficiază de educație pentru că școlile nu pot să comunice cu ei, iar familiile lor sunt lăsate să gestioneze singure toate problemele, de la alimentație la educație.</w:t>
      </w:r>
    </w:p>
    <w:p w14:paraId="28F03744" w14:textId="77777777"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Având în vedere că nivelul de incluziune în domeniul educației era oricum unul minim în întreaga Europă înainte de criză, iar nivelul de segregare era unul foarte ridicat, situația în perioada de criză devine peste tot în Europa una catastrofală. Copiii sunt lipsiți de serviciile îngrijitorilor, deoarece în multe țări ale UE se consideră că munca de îngrijitor nu este o „ocupație esențială”. </w:t>
      </w:r>
    </w:p>
    <w:p w14:paraId="2284EB65" w14:textId="77777777" w:rsidR="00FE0B0B" w:rsidRPr="00FE0B0B" w:rsidRDefault="00FE0B0B" w:rsidP="00FE0B0B">
      <w:pPr>
        <w:pStyle w:val="ListParagraph"/>
        <w:numPr>
          <w:ilvl w:val="0"/>
          <w:numId w:val="1"/>
        </w:numPr>
        <w:jc w:val="both"/>
        <w:rPr>
          <w:rFonts w:ascii="Cambria" w:hAnsi="Cambria"/>
          <w:sz w:val="24"/>
          <w:szCs w:val="24"/>
        </w:rPr>
      </w:pPr>
      <w:r>
        <w:rPr>
          <w:rFonts w:ascii="Cambria" w:hAnsi="Cambria"/>
          <w:sz w:val="24"/>
          <w:szCs w:val="24"/>
        </w:rPr>
        <w:t>Imposibilitatea de a contacta rudele și prietenii și de a purta o conversație normală, umană?</w:t>
      </w:r>
    </w:p>
    <w:p w14:paraId="6047444D" w14:textId="57570C77" w:rsid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 xml:space="preserve">Persoanele instituționalizate în așa-numitele „centre de îngrijire” sunt izolate. Acest lucru înseamnă că familiile nu pot să le viziteze și că de fapt aceste persoane sunt expuse unui risc ridicat de contaminare deoarece, așa cum s-a afirmat de multe ori, aceste instituții duc lipsă de materiale de protecție. </w:t>
      </w:r>
    </w:p>
    <w:p w14:paraId="418604C7" w14:textId="09E02BC4" w:rsidR="00FE0B0B" w:rsidRPr="00FE0B0B" w:rsidRDefault="00FE0B0B" w:rsidP="00FE0B0B">
      <w:pPr>
        <w:pStyle w:val="ListParagraph"/>
        <w:numPr>
          <w:ilvl w:val="1"/>
          <w:numId w:val="1"/>
        </w:numPr>
        <w:jc w:val="both"/>
        <w:rPr>
          <w:rFonts w:ascii="Cambria" w:hAnsi="Cambria"/>
          <w:sz w:val="24"/>
          <w:szCs w:val="24"/>
        </w:rPr>
      </w:pPr>
      <w:r>
        <w:rPr>
          <w:rFonts w:ascii="Cambria" w:hAnsi="Cambria"/>
          <w:sz w:val="24"/>
          <w:szCs w:val="24"/>
        </w:rPr>
        <w:t>Această situație scoate la iveală ce sunt în realitate instituțiile rezidențiale de „îngrijire” de mari dimensiuni: factori favorizanți ai riscurilor și problemelor, nu „spații sigure” așa cum se promovează.</w:t>
      </w:r>
      <w:r>
        <w:rPr>
          <w:rStyle w:val="FootnoteReference"/>
          <w:rFonts w:ascii="Cambria" w:hAnsi="Cambria"/>
          <w:sz w:val="24"/>
          <w:szCs w:val="24"/>
        </w:rPr>
        <w:t xml:space="preserve"> </w:t>
      </w:r>
      <w:r w:rsidRPr="00FE0B0B">
        <w:rPr>
          <w:rStyle w:val="FootnoteReference"/>
          <w:rFonts w:ascii="Cambria" w:hAnsi="Cambria"/>
          <w:sz w:val="24"/>
          <w:szCs w:val="24"/>
        </w:rPr>
        <w:footnoteReference w:id="7"/>
      </w:r>
    </w:p>
    <w:p w14:paraId="29142A2C" w14:textId="77777777" w:rsidR="00FE0B0B" w:rsidRPr="0045042D" w:rsidRDefault="00FE0B0B" w:rsidP="00FE0B0B">
      <w:pPr>
        <w:jc w:val="both"/>
        <w:rPr>
          <w:rFonts w:ascii="Cambria" w:hAnsi="Cambria"/>
          <w:sz w:val="24"/>
          <w:szCs w:val="24"/>
        </w:rPr>
      </w:pPr>
    </w:p>
    <w:p w14:paraId="05A2988E" w14:textId="77777777" w:rsidR="00FE0B0B" w:rsidRPr="00FE0B0B" w:rsidRDefault="00FE0B0B" w:rsidP="00FE0B0B">
      <w:pPr>
        <w:jc w:val="both"/>
        <w:rPr>
          <w:rFonts w:ascii="Cambria" w:hAnsi="Cambria"/>
          <w:sz w:val="24"/>
          <w:szCs w:val="24"/>
        </w:rPr>
      </w:pPr>
      <w:r>
        <w:rPr>
          <w:rFonts w:ascii="Cambria" w:hAnsi="Cambria"/>
          <w:sz w:val="24"/>
          <w:szCs w:val="24"/>
        </w:rPr>
        <w:t xml:space="preserve">În concluzie, situația este </w:t>
      </w:r>
      <w:r>
        <w:rPr>
          <w:rFonts w:ascii="Cambria" w:hAnsi="Cambria"/>
          <w:b/>
          <w:bCs/>
          <w:sz w:val="24"/>
          <w:szCs w:val="24"/>
        </w:rPr>
        <w:t>plină de paradoxuri</w:t>
      </w:r>
      <w:r>
        <w:rPr>
          <w:rFonts w:ascii="Cambria" w:hAnsi="Cambria"/>
          <w:sz w:val="24"/>
          <w:szCs w:val="24"/>
        </w:rPr>
        <w:t xml:space="preserve">, între persoanele instituționalizate care ar dori să se întoarcă la familiile lor, dar cărora le este interzis acest lucru, și persoanele care sunt obligate să locuiască împreună cu familiile lor când lucrul pe care și-l doresc mai mult decât orice este să fie independente! </w:t>
      </w:r>
    </w:p>
    <w:p w14:paraId="49C32666" w14:textId="77777777" w:rsidR="00FE0B0B" w:rsidRPr="0045042D" w:rsidRDefault="00FE0B0B" w:rsidP="00FE0B0B">
      <w:pPr>
        <w:jc w:val="both"/>
        <w:rPr>
          <w:rFonts w:ascii="Cambria" w:hAnsi="Cambria"/>
          <w:sz w:val="24"/>
          <w:szCs w:val="24"/>
        </w:rPr>
      </w:pPr>
    </w:p>
    <w:p w14:paraId="5EA4F457" w14:textId="50DCE14B" w:rsidR="00FE0B0B" w:rsidRPr="00FE0B0B" w:rsidRDefault="00FE0B0B" w:rsidP="00FE0B0B">
      <w:pPr>
        <w:jc w:val="both"/>
        <w:rPr>
          <w:rFonts w:ascii="Cambria" w:hAnsi="Cambria"/>
          <w:sz w:val="24"/>
          <w:szCs w:val="24"/>
        </w:rPr>
      </w:pPr>
      <w:r>
        <w:rPr>
          <w:rFonts w:ascii="Cambria" w:hAnsi="Cambria"/>
          <w:sz w:val="24"/>
          <w:szCs w:val="24"/>
        </w:rPr>
        <w:t xml:space="preserve">Coronavirusul și măsurile impuse de izolare subliniază </w:t>
      </w:r>
      <w:r>
        <w:rPr>
          <w:rFonts w:ascii="Cambria" w:hAnsi="Cambria"/>
          <w:b/>
          <w:bCs/>
          <w:sz w:val="24"/>
          <w:szCs w:val="24"/>
        </w:rPr>
        <w:t>segregarea și discriminarea continuă</w:t>
      </w:r>
      <w:r>
        <w:rPr>
          <w:rFonts w:ascii="Cambria" w:hAnsi="Cambria"/>
          <w:sz w:val="24"/>
          <w:szCs w:val="24"/>
        </w:rPr>
        <w:t xml:space="preserve"> a persoanelor cu dizabilități intelectuale, în special în ceea ce privește accesul la asistență medicală.</w:t>
      </w:r>
    </w:p>
    <w:p w14:paraId="793E8CE9" w14:textId="700B7155" w:rsidR="00FE0B0B" w:rsidRPr="00FE0B0B" w:rsidRDefault="00FE0B0B" w:rsidP="00FE0B0B">
      <w:pPr>
        <w:jc w:val="both"/>
        <w:rPr>
          <w:rFonts w:ascii="Cambria" w:hAnsi="Cambria"/>
          <w:sz w:val="24"/>
          <w:szCs w:val="24"/>
        </w:rPr>
      </w:pPr>
      <w:r>
        <w:rPr>
          <w:rFonts w:ascii="Cambria" w:hAnsi="Cambria"/>
          <w:sz w:val="24"/>
          <w:szCs w:val="24"/>
        </w:rPr>
        <w:lastRenderedPageBreak/>
        <w:t>Efectul crizei cauzate de coronavirus asupra unor milioane de persoane aflate în această situație a fost de a agrava aceste caracteristici care erau oricum prezente în viața lor de zi cu zi.</w:t>
      </w:r>
      <w:r w:rsidRPr="00FE0B0B">
        <w:rPr>
          <w:rStyle w:val="FootnoteReference"/>
          <w:rFonts w:ascii="Cambria" w:hAnsi="Cambria"/>
          <w:sz w:val="24"/>
          <w:szCs w:val="24"/>
        </w:rPr>
        <w:footnoteReference w:id="8"/>
      </w:r>
    </w:p>
    <w:p w14:paraId="6FB0C8A4" w14:textId="77777777" w:rsidR="00FE0B0B" w:rsidRPr="0045042D" w:rsidRDefault="00FE0B0B" w:rsidP="00FE0B0B">
      <w:pPr>
        <w:jc w:val="both"/>
        <w:rPr>
          <w:rFonts w:ascii="Cambria" w:hAnsi="Cambria"/>
          <w:sz w:val="24"/>
          <w:szCs w:val="24"/>
          <w:lang w:val="fr-BE"/>
        </w:rPr>
      </w:pPr>
    </w:p>
    <w:p w14:paraId="6C0E4179" w14:textId="77777777" w:rsidR="00FE0B0B" w:rsidRPr="0045042D" w:rsidRDefault="00FE0B0B" w:rsidP="00FE0B0B">
      <w:pPr>
        <w:jc w:val="both"/>
        <w:rPr>
          <w:rFonts w:ascii="Cambria" w:hAnsi="Cambria"/>
          <w:sz w:val="24"/>
          <w:szCs w:val="24"/>
          <w:lang w:val="fr-BE"/>
        </w:rPr>
      </w:pPr>
    </w:p>
    <w:p w14:paraId="79F2AF92" w14:textId="77777777" w:rsidR="00FE0B0B" w:rsidRPr="00FE0B0B" w:rsidRDefault="00FE0B0B" w:rsidP="00FE0B0B">
      <w:pPr>
        <w:jc w:val="both"/>
        <w:rPr>
          <w:rFonts w:ascii="Cambria" w:hAnsi="Cambria"/>
          <w:b/>
          <w:bCs/>
          <w:sz w:val="24"/>
          <w:szCs w:val="24"/>
          <w:u w:val="single"/>
        </w:rPr>
      </w:pPr>
      <w:r>
        <w:rPr>
          <w:rFonts w:ascii="Cambria" w:hAnsi="Cambria"/>
          <w:b/>
          <w:bCs/>
          <w:sz w:val="24"/>
          <w:szCs w:val="24"/>
          <w:u w:val="single"/>
        </w:rPr>
        <w:t>Măsuri concrete pe care UE ar putea să le adopte pentru a proteja persoanele cu dizabilități intelectuale</w:t>
      </w:r>
    </w:p>
    <w:p w14:paraId="6E46748A" w14:textId="77777777" w:rsidR="00FE0B0B" w:rsidRPr="0045042D" w:rsidRDefault="00FE0B0B" w:rsidP="00FE0B0B">
      <w:pPr>
        <w:jc w:val="both"/>
        <w:rPr>
          <w:rFonts w:ascii="Cambria" w:hAnsi="Cambria"/>
          <w:sz w:val="24"/>
          <w:szCs w:val="24"/>
          <w:lang w:val="fr-BE"/>
        </w:rPr>
      </w:pPr>
    </w:p>
    <w:p w14:paraId="2DC7C5A5" w14:textId="0E6F1A77" w:rsidR="00FE0B0B" w:rsidRDefault="00FE0B0B" w:rsidP="00FE0B0B">
      <w:pPr>
        <w:tabs>
          <w:tab w:val="left" w:pos="1272"/>
        </w:tabs>
        <w:jc w:val="both"/>
        <w:rPr>
          <w:rFonts w:ascii="Cambria" w:hAnsi="Cambria"/>
          <w:sz w:val="24"/>
          <w:szCs w:val="24"/>
        </w:rPr>
      </w:pPr>
      <w:r>
        <w:rPr>
          <w:rFonts w:ascii="Cambria" w:hAnsi="Cambria"/>
          <w:sz w:val="24"/>
          <w:szCs w:val="24"/>
        </w:rPr>
        <w:t xml:space="preserve">În ceea ce privește reacția imediată în domeniul sănătății, ar trebui să se asigure că aceasta este compatibilă atât cu Carta UE, cât și cu CNUDPH, ținând seama de faptul că toate viețile sunt egale și că nicio parte terță nu poate fi considerată capabilă să hotărască dacă viața unei persoane merită sau nu. </w:t>
      </w:r>
    </w:p>
    <w:p w14:paraId="70E0B8A2" w14:textId="77777777" w:rsidR="00FE0B0B" w:rsidRPr="0045042D" w:rsidRDefault="00FE0B0B" w:rsidP="00FE0B0B">
      <w:pPr>
        <w:tabs>
          <w:tab w:val="left" w:pos="1272"/>
        </w:tabs>
        <w:jc w:val="both"/>
        <w:rPr>
          <w:rFonts w:ascii="Cambria" w:hAnsi="Cambria"/>
          <w:sz w:val="24"/>
          <w:szCs w:val="24"/>
          <w:lang w:val="fr-BE"/>
        </w:rPr>
      </w:pPr>
    </w:p>
    <w:p w14:paraId="1FF1BFC1" w14:textId="5A566F97" w:rsidR="00FE0B0B" w:rsidRPr="00FE0B0B" w:rsidRDefault="009A43AB" w:rsidP="003712C2">
      <w:pPr>
        <w:tabs>
          <w:tab w:val="left" w:pos="1272"/>
        </w:tabs>
        <w:jc w:val="both"/>
        <w:rPr>
          <w:rFonts w:ascii="Cambria" w:hAnsi="Cambria"/>
          <w:sz w:val="24"/>
          <w:szCs w:val="24"/>
        </w:rPr>
      </w:pPr>
      <w:r>
        <w:rPr>
          <w:rFonts w:ascii="Cambria" w:hAnsi="Cambria"/>
          <w:sz w:val="24"/>
          <w:szCs w:val="24"/>
        </w:rPr>
        <w:t>„Adăugarea oricărui orizon</w:t>
      </w:r>
      <w:r w:rsidR="006544E6">
        <w:rPr>
          <w:rFonts w:ascii="Cambria" w:hAnsi="Cambria"/>
          <w:sz w:val="24"/>
          <w:szCs w:val="24"/>
        </w:rPr>
        <w:t>t</w:t>
      </w:r>
      <w:r>
        <w:rPr>
          <w:rFonts w:ascii="Cambria" w:hAnsi="Cambria"/>
          <w:sz w:val="24"/>
          <w:szCs w:val="24"/>
        </w:rPr>
        <w:t xml:space="preserve"> realist de timp strategiei de ieșire din starea de izolare nu va ameliora în niciun fel situația persoanelor cu dizabilități intelectuale, acesta va reprezenta doar începutul simbolic al unei lungi perioade de prejudicii și suferință, departe de atenția mass-mediei.</w:t>
      </w:r>
    </w:p>
    <w:p w14:paraId="76D2A78A"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Chiar dacă situația revine la normal, la perioada anterioară pandemiei, persoanele cu dizabilități vor fi în continuare segregate de comunitățile în care trăiesc și de școli; familiile vor trebui să asigure majoritatea îngrijirilor și asistenței și să lupte pentru fiecare minim progres și fiecare minimă recunoaștere; persoanele cu dizabilități intelectuale vor continua să nu beneficieze de asistență medicală adecvată.</w:t>
      </w:r>
    </w:p>
    <w:p w14:paraId="0A7252E5"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Așa neplăcută cum pare această situație, ea ar fi totuși una mai bună decât situația de care ar trebui să ne fie cel mai teamă: repercusiunile financiare și reducerea numărului de servicii. </w:t>
      </w:r>
    </w:p>
    <w:p w14:paraId="5EE2D51C"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Am observat impactul devastator al crizei financiare din 2009 – servicii închise, indemnizații de handicap și prestații sociale eliminate, șomaj masiv și, în ultimă instanță, repercusiuni asupra bunăstării și vieții oamenilor.</w:t>
      </w:r>
    </w:p>
    <w:p w14:paraId="3F167CAC" w14:textId="0D5F7C2D"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(De aceea, pentru a evita o astfel de tragedie, este esențial ca) autoritățile naționale și de la nivelul UE să se asigure că miliardele de euro acordate ca sprijin economic după pandemia de coronavirus vor viza în primul și în primul rând persoanele cu dizabilități și alte grupuri „vulnerabile”. </w:t>
      </w:r>
    </w:p>
    <w:p w14:paraId="5CB9A2BB"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Până în prezent, semnele nu sunt încurajatoare, iar comunicarea se axează pe întreprinderi și ocuparea forței de muncă, pe utilizarea fondurilor de coeziune ale UE pentru a finanța orice măsuri legate de pandemie care ar putea fi necesare. </w:t>
      </w:r>
    </w:p>
    <w:p w14:paraId="58A4CE60" w14:textId="0CB242EB"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Întreprinderile și ocuparea forței de muncă sunt importante, dar nu înseamnă totul. Se va simți mai târziu lipsa banilor luați acum din fondurile de coeziune. Economia bazată </w:t>
      </w:r>
      <w:r>
        <w:rPr>
          <w:rFonts w:ascii="Cambria" w:hAnsi="Cambria"/>
          <w:sz w:val="24"/>
          <w:szCs w:val="24"/>
        </w:rPr>
        <w:lastRenderedPageBreak/>
        <w:t>exclusiv pe mediul de afaceri (trickle down economy) nu funcționează, așa cum afirmă în mod corect numeroși specialiști, privind la situația de peste ocean.</w:t>
      </w:r>
    </w:p>
    <w:p w14:paraId="458E2F09" w14:textId="683EEAA7" w:rsidR="009A43AB" w:rsidRPr="00E55382" w:rsidRDefault="009A43AB" w:rsidP="003712C2">
      <w:pPr>
        <w:jc w:val="both"/>
        <w:rPr>
          <w:rFonts w:ascii="Cambria" w:eastAsia="Times New Roman" w:hAnsi="Cambria" w:cs="Times New Roman"/>
          <w:sz w:val="24"/>
          <w:szCs w:val="24"/>
        </w:rPr>
      </w:pPr>
      <w:r>
        <w:rPr>
          <w:rFonts w:ascii="Cambria" w:hAnsi="Cambria"/>
          <w:sz w:val="24"/>
          <w:szCs w:val="24"/>
        </w:rPr>
        <w:t>[…]</w:t>
      </w:r>
    </w:p>
    <w:p w14:paraId="7AAF5744" w14:textId="77777777" w:rsidR="009A43AB" w:rsidRPr="009A43AB" w:rsidRDefault="009A43AB" w:rsidP="003712C2">
      <w:pPr>
        <w:jc w:val="both"/>
        <w:rPr>
          <w:rFonts w:ascii="Cambria" w:eastAsia="Times New Roman" w:hAnsi="Cambria" w:cs="Times New Roman"/>
          <w:sz w:val="24"/>
          <w:szCs w:val="24"/>
        </w:rPr>
      </w:pPr>
      <w:r>
        <w:rPr>
          <w:rFonts w:ascii="Cambria" w:hAnsi="Cambria"/>
          <w:sz w:val="24"/>
          <w:szCs w:val="24"/>
        </w:rPr>
        <w:t xml:space="preserve">Avem nevoie, </w:t>
      </w:r>
      <w:r>
        <w:rPr>
          <w:rFonts w:ascii="Cambria" w:hAnsi="Cambria"/>
          <w:b/>
          <w:bCs/>
          <w:sz w:val="24"/>
          <w:szCs w:val="24"/>
        </w:rPr>
        <w:t>cu prioritate, de revenirea la normal a serviciilor pentru persoanele cu dizabilități, acestea trebuind să fie printre primele din nou disponibile la „ieșirea din izolare</w:t>
      </w:r>
      <w:r>
        <w:rPr>
          <w:rFonts w:ascii="Cambria" w:hAnsi="Cambria"/>
          <w:sz w:val="24"/>
          <w:szCs w:val="24"/>
        </w:rPr>
        <w:t xml:space="preserve">”. </w:t>
      </w:r>
    </w:p>
    <w:p w14:paraId="0D33EF23" w14:textId="2185C784" w:rsidR="009A43AB" w:rsidRPr="009A43AB" w:rsidRDefault="009A43AB" w:rsidP="003712C2">
      <w:pPr>
        <w:spacing w:after="100" w:afterAutospacing="1"/>
        <w:jc w:val="both"/>
        <w:rPr>
          <w:rFonts w:ascii="Cambria" w:eastAsia="Times New Roman" w:hAnsi="Cambria" w:cs="Times New Roman"/>
          <w:sz w:val="24"/>
          <w:szCs w:val="24"/>
        </w:rPr>
      </w:pPr>
      <w:r>
        <w:rPr>
          <w:rFonts w:ascii="Cambria" w:hAnsi="Cambria"/>
          <w:sz w:val="24"/>
          <w:szCs w:val="24"/>
        </w:rPr>
        <w:t xml:space="preserve">Avem nevoie de </w:t>
      </w:r>
      <w:r>
        <w:rPr>
          <w:rFonts w:ascii="Cambria" w:hAnsi="Cambria"/>
          <w:b/>
          <w:bCs/>
          <w:sz w:val="24"/>
          <w:szCs w:val="24"/>
        </w:rPr>
        <w:t>măsuri financiare post-coronavirus care nu doar să includă persoanele cu dizabilități intelectuale, ci să înceapă cu persoanele cu dizabilități intelectuale și familiile acestora</w:t>
      </w:r>
      <w:r>
        <w:rPr>
          <w:rFonts w:ascii="Cambria" w:hAnsi="Cambria"/>
          <w:sz w:val="24"/>
          <w:szCs w:val="24"/>
        </w:rPr>
        <w:t>.”</w:t>
      </w:r>
      <w:r w:rsidRPr="00FE0B0B">
        <w:rPr>
          <w:rStyle w:val="FootnoteReference"/>
          <w:rFonts w:ascii="Cambria" w:hAnsi="Cambria"/>
          <w:sz w:val="24"/>
          <w:szCs w:val="24"/>
        </w:rPr>
        <w:footnoteReference w:id="9"/>
      </w:r>
    </w:p>
    <w:p w14:paraId="4ACFD956" w14:textId="77777777" w:rsidR="00E60F7B" w:rsidRPr="00FE0B0B" w:rsidRDefault="00E60F7B">
      <w:pPr>
        <w:rPr>
          <w:rFonts w:ascii="Cambria" w:hAnsi="Cambria"/>
          <w:sz w:val="24"/>
          <w:szCs w:val="24"/>
        </w:rPr>
      </w:pPr>
    </w:p>
    <w:sectPr w:rsidR="00E60F7B" w:rsidRPr="00FE0B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B3EA5" w14:textId="77777777" w:rsidR="006A4A3F" w:rsidRDefault="006A4A3F" w:rsidP="00FE0B0B">
      <w:r>
        <w:separator/>
      </w:r>
    </w:p>
  </w:endnote>
  <w:endnote w:type="continuationSeparator" w:id="0">
    <w:p w14:paraId="17A0C25D" w14:textId="77777777" w:rsidR="006A4A3F" w:rsidRDefault="006A4A3F" w:rsidP="00FE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72116" w14:textId="77777777" w:rsidR="0045042D" w:rsidRDefault="004504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112086"/>
      <w:docPartObj>
        <w:docPartGallery w:val="Page Numbers (Bottom of Page)"/>
        <w:docPartUnique/>
      </w:docPartObj>
    </w:sdtPr>
    <w:sdtEndPr>
      <w:rPr>
        <w:noProof/>
      </w:rPr>
    </w:sdtEndPr>
    <w:sdtContent>
      <w:p w14:paraId="76FFC084" w14:textId="51816C24" w:rsidR="003712C2" w:rsidRDefault="003712C2">
        <w:pPr>
          <w:pStyle w:val="Footer"/>
          <w:jc w:val="right"/>
        </w:pPr>
        <w:r>
          <w:fldChar w:fldCharType="begin"/>
        </w:r>
        <w:r>
          <w:instrText xml:space="preserve"> PAGE   \* MERGEFORMAT </w:instrText>
        </w:r>
        <w:r>
          <w:fldChar w:fldCharType="separate"/>
        </w:r>
        <w:r>
          <w:t>2</w:t>
        </w:r>
        <w:r>
          <w:fldChar w:fldCharType="end"/>
        </w:r>
      </w:p>
    </w:sdtContent>
  </w:sdt>
  <w:p w14:paraId="29A361D3" w14:textId="77777777" w:rsidR="00945E34" w:rsidRDefault="00945E34" w:rsidP="00945E34">
    <w:pPr>
      <w:spacing w:before="60"/>
      <w:rPr>
        <w:rFonts w:ascii="Open Sans" w:hAnsi="Open Sans" w:cs="Open Sans"/>
        <w:b/>
        <w:noProof/>
        <w:sz w:val="16"/>
        <w:szCs w:val="16"/>
        <w:lang w:val="en-GB"/>
      </w:rPr>
    </w:pPr>
  </w:p>
  <w:p w14:paraId="7BEC968B" w14:textId="77777777" w:rsidR="00945E34" w:rsidRDefault="00945E34" w:rsidP="00945E34">
    <w:pPr>
      <w:spacing w:before="60"/>
      <w:rPr>
        <w:rFonts w:ascii="Open Sans" w:hAnsi="Open Sans" w:cs="Open Sans"/>
        <w:b/>
        <w:noProof/>
        <w:sz w:val="16"/>
        <w:szCs w:val="16"/>
        <w:lang w:val="en-GB"/>
      </w:rPr>
    </w:pPr>
  </w:p>
  <w:p w14:paraId="3E5849DB" w14:textId="1639D774" w:rsidR="00945E34" w:rsidRDefault="00945E34" w:rsidP="00945E34">
    <w:pPr>
      <w:spacing w:before="60"/>
      <w:rPr>
        <w:rFonts w:ascii="Open Sans" w:hAnsi="Open Sans" w:cs="Open Sans"/>
        <w:noProof/>
        <w:sz w:val="6"/>
        <w:szCs w:val="16"/>
        <w:lang w:val="en-GB"/>
      </w:rPr>
    </w:pPr>
    <w:r>
      <w:rPr>
        <w:noProof/>
        <w:lang w:val="hu-HU"/>
      </w:rPr>
      <w:drawing>
        <wp:anchor distT="0" distB="0" distL="114300" distR="114300" simplePos="0" relativeHeight="251664384" behindDoc="1" locked="0" layoutInCell="1" allowOverlap="1" wp14:anchorId="041C4EF9" wp14:editId="1F4E3451">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4" name="Picture 4"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The flag of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pic:spPr>
              </pic:pic>
            </a:graphicData>
          </a:graphic>
          <wp14:sizeRelH relativeFrom="page">
            <wp14:pctWidth>0</wp14:pctWidth>
          </wp14:sizeRelH>
          <wp14:sizeRelV relativeFrom="page">
            <wp14:pctHeight>0</wp14:pctHeight>
          </wp14:sizeRelV>
        </wp:anchor>
      </w:drawing>
    </w:r>
    <w:r>
      <w:rPr>
        <w:rFonts w:ascii="Open Sans" w:hAnsi="Open Sans" w:cs="Open Sans"/>
        <w:b/>
        <w:noProof/>
        <w:sz w:val="16"/>
        <w:szCs w:val="16"/>
        <w:lang w:val="en-GB"/>
      </w:rPr>
      <w:t>Inclusion Europe</w:t>
    </w:r>
    <w:r>
      <w:rPr>
        <w:rFonts w:ascii="Open Sans" w:hAnsi="Open Sans" w:cs="Open Sans"/>
        <w:noProof/>
        <w:sz w:val="16"/>
        <w:szCs w:val="16"/>
        <w:lang w:val="en-GB"/>
      </w:rPr>
      <w:br/>
      <w:t>European movement of people with intellectual disabilities and their families</w:t>
    </w:r>
    <w:r>
      <w:rPr>
        <w:rFonts w:ascii="Open Sans" w:hAnsi="Open Sans" w:cs="Open Sans"/>
        <w:noProof/>
        <w:sz w:val="16"/>
        <w:szCs w:val="16"/>
        <w:lang w:val="en-GB"/>
      </w:rPr>
      <w:tab/>
    </w:r>
    <w:r>
      <w:rPr>
        <w:rFonts w:ascii="Open Sans" w:hAnsi="Open Sans" w:cs="Open Sans"/>
        <w:noProof/>
        <w:sz w:val="16"/>
        <w:szCs w:val="16"/>
        <w:lang w:val="en-GB"/>
      </w:rPr>
      <w:tab/>
    </w:r>
    <w:r>
      <w:rPr>
        <w:rFonts w:ascii="Open Sans" w:hAnsi="Open Sans" w:cs="Open Sans"/>
        <w:noProof/>
        <w:sz w:val="6"/>
        <w:szCs w:val="16"/>
        <w:lang w:val="en-GB"/>
      </w:rPr>
      <w:tab/>
    </w:r>
    <w:r>
      <w:rPr>
        <w:rFonts w:ascii="Open Sans" w:hAnsi="Open Sans" w:cs="Open Sans"/>
        <w:noProof/>
        <w:sz w:val="6"/>
        <w:szCs w:val="16"/>
        <w:lang w:val="en-GB"/>
      </w:rPr>
      <w:tab/>
    </w:r>
    <w:r>
      <w:rPr>
        <w:rFonts w:ascii="Open Sans" w:hAnsi="Open Sans" w:cs="Open Sans"/>
        <w:noProof/>
        <w:sz w:val="6"/>
        <w:szCs w:val="16"/>
        <w:lang w:val="en-GB"/>
      </w:rPr>
      <w:tab/>
    </w:r>
    <w:r>
      <w:rPr>
        <w:rFonts w:ascii="Open Sans" w:hAnsi="Open Sans" w:cs="Open Sans"/>
        <w:noProof/>
        <w:sz w:val="6"/>
        <w:szCs w:val="16"/>
        <w:lang w:val="en-GB"/>
      </w:rPr>
      <w:tab/>
    </w:r>
    <w:r>
      <w:rPr>
        <w:rFonts w:ascii="Open Sans" w:hAnsi="Open Sans" w:cs="Open Sans"/>
        <w:noProof/>
        <w:sz w:val="6"/>
        <w:szCs w:val="16"/>
        <w:lang w:val="en-GB"/>
      </w:rPr>
      <w:tab/>
    </w:r>
    <w:r>
      <w:rPr>
        <w:rFonts w:ascii="Open Sans" w:hAnsi="Open Sans" w:cs="Open Sans"/>
        <w:noProof/>
        <w:sz w:val="6"/>
        <w:szCs w:val="16"/>
        <w:lang w:val="en-GB"/>
      </w:rPr>
      <w:tab/>
    </w:r>
  </w:p>
  <w:p w14:paraId="5C163E08" w14:textId="77777777" w:rsidR="00945E34" w:rsidRDefault="00945E34" w:rsidP="00945E34">
    <w:pPr>
      <w:tabs>
        <w:tab w:val="right" w:pos="8647"/>
      </w:tabs>
      <w:spacing w:before="60"/>
      <w:rPr>
        <w:rFonts w:ascii="Open Sans" w:hAnsi="Open Sans" w:cs="Open Sans"/>
        <w:noProof/>
        <w:sz w:val="6"/>
        <w:szCs w:val="16"/>
        <w:lang w:val="en-GB"/>
      </w:rPr>
    </w:pPr>
    <w:r>
      <w:rPr>
        <w:rFonts w:ascii="Open Sans" w:hAnsi="Open Sans" w:cs="Open Sans"/>
        <w:noProof/>
        <w:sz w:val="14"/>
        <w:szCs w:val="14"/>
        <w:lang w:val="en-GB"/>
      </w:rPr>
      <w:t>Avenue des Arts 3, 1210 Brussels, Belgium</w:t>
    </w:r>
    <w:r>
      <w:rPr>
        <w:rFonts w:ascii="Open Sans" w:hAnsi="Open Sans" w:cs="Open Sans"/>
        <w:noProof/>
        <w:sz w:val="14"/>
        <w:szCs w:val="14"/>
        <w:lang w:val="en-GB"/>
      </w:rPr>
      <w:tab/>
    </w:r>
    <w:r>
      <w:rPr>
        <w:rFonts w:ascii="Open Sans" w:hAnsi="Open Sans" w:cs="Open Sans"/>
        <w:noProof/>
        <w:sz w:val="14"/>
        <w:szCs w:val="14"/>
        <w:lang w:val="en-GB"/>
      </w:rPr>
      <w:br/>
      <w:t xml:space="preserve">+32 25 02 28 15 </w:t>
    </w:r>
    <w:r>
      <w:rPr>
        <w:rFonts w:ascii="Open Sans" w:hAnsi="Open Sans" w:cs="Open Sans"/>
        <w:noProof/>
        <w:sz w:val="14"/>
        <w:szCs w:val="14"/>
        <w:lang w:val="en-GB"/>
      </w:rPr>
      <w:tab/>
      <w:t>Co-funded by</w:t>
    </w:r>
    <w:r>
      <w:rPr>
        <w:rFonts w:ascii="Open Sans" w:hAnsi="Open Sans" w:cs="Open Sans"/>
        <w:noProof/>
        <w:sz w:val="14"/>
        <w:szCs w:val="14"/>
        <w:lang w:val="en-GB"/>
      </w:rPr>
      <w:br/>
    </w:r>
    <w:hyperlink r:id="rId2" w:history="1">
      <w:r>
        <w:rPr>
          <w:rStyle w:val="Hyperlink"/>
          <w:rFonts w:ascii="Open Sans" w:hAnsi="Open Sans" w:cs="Open Sans"/>
          <w:sz w:val="14"/>
          <w:szCs w:val="14"/>
          <w:lang w:val="en-GB"/>
        </w:rPr>
        <w:t>secretariat@inclusion-europe.org</w:t>
      </w:r>
    </w:hyperlink>
    <w:r>
      <w:rPr>
        <w:rFonts w:ascii="Open Sans" w:hAnsi="Open Sans" w:cs="Open Sans"/>
        <w:noProof/>
        <w:sz w:val="14"/>
        <w:szCs w:val="14"/>
        <w:lang w:val="en-GB"/>
      </w:rPr>
      <w:t xml:space="preserve"> </w:t>
    </w:r>
    <w:r>
      <w:rPr>
        <w:rFonts w:ascii="Open Sans" w:hAnsi="Open Sans" w:cs="Open Sans"/>
        <w:noProof/>
        <w:sz w:val="14"/>
        <w:szCs w:val="14"/>
        <w:lang w:val="en-GB"/>
      </w:rPr>
      <w:tab/>
      <w:t>the European Union</w:t>
    </w:r>
    <w:r>
      <w:rPr>
        <w:rFonts w:ascii="Open Sans" w:hAnsi="Open Sans" w:cs="Open Sans"/>
        <w:noProof/>
        <w:sz w:val="14"/>
        <w:szCs w:val="14"/>
        <w:lang w:val="en-GB"/>
      </w:rPr>
      <w:br/>
    </w:r>
  </w:p>
  <w:p w14:paraId="5C56B330" w14:textId="0CDFDB4E" w:rsidR="00945E34" w:rsidRDefault="00945E34" w:rsidP="00945E34">
    <w:pPr>
      <w:tabs>
        <w:tab w:val="left" w:pos="284"/>
        <w:tab w:val="left" w:pos="2552"/>
        <w:tab w:val="left" w:pos="4678"/>
        <w:tab w:val="right" w:pos="8647"/>
      </w:tabs>
      <w:rPr>
        <w:rFonts w:ascii="Open Sans" w:hAnsi="Open Sans" w:cs="Open Sans"/>
        <w:noProof/>
        <w:sz w:val="14"/>
        <w:szCs w:val="14"/>
        <w:lang w:val="en-GB"/>
      </w:rPr>
    </w:pPr>
    <w:r>
      <w:rPr>
        <w:noProof/>
        <w:lang w:val="hu-HU"/>
      </w:rPr>
      <w:drawing>
        <wp:anchor distT="0" distB="0" distL="114300" distR="114300" simplePos="0" relativeHeight="251662336" behindDoc="0" locked="0" layoutInCell="1" allowOverlap="1" wp14:anchorId="4D0E58A9" wp14:editId="708DD98D">
          <wp:simplePos x="0" y="0"/>
          <wp:positionH relativeFrom="page">
            <wp:posOffset>3740785</wp:posOffset>
          </wp:positionH>
          <wp:positionV relativeFrom="paragraph">
            <wp:posOffset>45085</wp:posOffset>
          </wp:positionV>
          <wp:extent cx="97155" cy="97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hu-HU"/>
      </w:rPr>
      <w:drawing>
        <wp:anchor distT="0" distB="0" distL="114300" distR="114300" simplePos="0" relativeHeight="251663360" behindDoc="0" locked="0" layoutInCell="1" allowOverlap="1" wp14:anchorId="3A6C19B2" wp14:editId="5C56BD54">
          <wp:simplePos x="0" y="0"/>
          <wp:positionH relativeFrom="margin">
            <wp:posOffset>4101465</wp:posOffset>
          </wp:positionH>
          <wp:positionV relativeFrom="paragraph">
            <wp:posOffset>34925</wp:posOffset>
          </wp:positionV>
          <wp:extent cx="97155" cy="971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hu-HU"/>
      </w:rPr>
      <w:drawing>
        <wp:anchor distT="0" distB="0" distL="114300" distR="114300" simplePos="0" relativeHeight="251661312" behindDoc="0" locked="0" layoutInCell="1" allowOverlap="1" wp14:anchorId="60229462" wp14:editId="151CF9AC">
          <wp:simplePos x="0" y="0"/>
          <wp:positionH relativeFrom="margin">
            <wp:posOffset>1489075</wp:posOffset>
          </wp:positionH>
          <wp:positionV relativeFrom="paragraph">
            <wp:posOffset>36195</wp:posOffset>
          </wp:positionV>
          <wp:extent cx="97155" cy="971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5">
                    <a:extLst>
                      <a:ext uri="{28A0092B-C50C-407E-A947-70E740481C1C}">
                        <a14:useLocalDpi xmlns:a14="http://schemas.microsoft.com/office/drawing/2010/main" val="0"/>
                      </a:ext>
                    </a:extLst>
                  </a:blip>
                  <a:srcRect l="-192" t="-192" r="-192" b="-192"/>
                  <a:stretch>
                    <a:fillRect/>
                  </a:stretch>
                </pic:blipFill>
                <pic:spPr bwMode="auto">
                  <a:xfrm>
                    <a:off x="0" y="0"/>
                    <a:ext cx="97155" cy="97155"/>
                  </a:xfrm>
                  <a:prstGeom prst="rect">
                    <a:avLst/>
                  </a:prstGeom>
                  <a:noFill/>
                </pic:spPr>
              </pic:pic>
            </a:graphicData>
          </a:graphic>
          <wp14:sizeRelH relativeFrom="margin">
            <wp14:pctWidth>0</wp14:pctWidth>
          </wp14:sizeRelH>
          <wp14:sizeRelV relativeFrom="margin">
            <wp14:pctHeight>0</wp14:pctHeight>
          </wp14:sizeRelV>
        </wp:anchor>
      </w:drawing>
    </w:r>
    <w:hyperlink r:id="rId6" w:history="1">
      <w:r>
        <w:rPr>
          <w:rStyle w:val="Hyperlink"/>
          <w:rFonts w:ascii="Open Sans" w:hAnsi="Open Sans" w:cs="Open Sans"/>
          <w:noProof/>
          <w:sz w:val="14"/>
          <w:szCs w:val="14"/>
          <w:lang w:val="en-GB"/>
        </w:rPr>
        <w:t>www.inclusion-europe.eu</w:t>
      </w:r>
    </w:hyperlink>
    <w:r>
      <w:rPr>
        <w:rFonts w:ascii="Open Sans" w:hAnsi="Open Sans" w:cs="Open Sans"/>
        <w:noProof/>
        <w:sz w:val="14"/>
        <w:szCs w:val="14"/>
        <w:lang w:val="en-GB"/>
      </w:rPr>
      <w:tab/>
      <w:t>@InclusionEurope</w:t>
    </w:r>
    <w:r>
      <w:rPr>
        <w:rFonts w:ascii="Open Sans" w:hAnsi="Open Sans" w:cs="Open Sans"/>
        <w:noProof/>
        <w:sz w:val="14"/>
        <w:szCs w:val="14"/>
        <w:lang w:val="en-GB"/>
      </w:rPr>
      <w:tab/>
      <w:t>@InclusionEurope</w:t>
    </w:r>
    <w:r>
      <w:rPr>
        <w:rFonts w:ascii="Open Sans" w:hAnsi="Open Sans" w:cs="Open Sans"/>
        <w:noProof/>
        <w:sz w:val="14"/>
        <w:szCs w:val="14"/>
        <w:lang w:val="en-GB"/>
      </w:rPr>
      <w:tab/>
      <w:t>youtube.com/InclusionEurope</w:t>
    </w:r>
  </w:p>
  <w:p w14:paraId="4C0907D4" w14:textId="77777777" w:rsidR="003712C2" w:rsidRPr="00945E34" w:rsidRDefault="003712C2">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2FCF" w14:textId="77777777" w:rsidR="0045042D" w:rsidRDefault="00450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42405" w14:textId="77777777" w:rsidR="006A4A3F" w:rsidRDefault="006A4A3F" w:rsidP="00FE0B0B">
      <w:r>
        <w:separator/>
      </w:r>
    </w:p>
  </w:footnote>
  <w:footnote w:type="continuationSeparator" w:id="0">
    <w:p w14:paraId="3F9C82B2" w14:textId="77777777" w:rsidR="006A4A3F" w:rsidRDefault="006A4A3F" w:rsidP="00FE0B0B">
      <w:r>
        <w:continuationSeparator/>
      </w:r>
    </w:p>
  </w:footnote>
  <w:footnote w:id="1">
    <w:p w14:paraId="3491C3D3" w14:textId="77777777" w:rsidR="00FE0B0B" w:rsidRPr="00C2341A" w:rsidRDefault="00FE0B0B" w:rsidP="00FE0B0B">
      <w:pPr>
        <w:pStyle w:val="FootnoteText"/>
      </w:pPr>
      <w:r>
        <w:rPr>
          <w:rStyle w:val="FootnoteReference"/>
        </w:rPr>
        <w:footnoteRef/>
      </w:r>
      <w:r>
        <w:t xml:space="preserve"> Decizia Consiliului 2010/48/CE </w:t>
      </w:r>
      <w:hyperlink r:id="rId1" w:history="1">
        <w:r>
          <w:rPr>
            <w:rStyle w:val="Hyperlink"/>
          </w:rPr>
          <w:t>https://eur-lex.europa.eu/legal-content/EN/TXT/?uri=uriserv:OJ.L_.2010.023.01.0035.01.ENG</w:t>
        </w:r>
      </w:hyperlink>
      <w:r>
        <w:t xml:space="preserve"> și Codul de conduită din 2010/C 340/08 </w:t>
      </w:r>
      <w:hyperlink r:id="rId2" w:history="1">
        <w:r>
          <w:rPr>
            <w:rStyle w:val="Hyperlink"/>
          </w:rPr>
          <w:t>https://eur-lex.europa.eu/LexUriServ/LexUriServ.do?uri=OJ:C:2010:340:0011:0015:EN:PDF</w:t>
        </w:r>
      </w:hyperlink>
      <w:r>
        <w:t xml:space="preserve"> </w:t>
      </w:r>
    </w:p>
  </w:footnote>
  <w:footnote w:id="2">
    <w:p w14:paraId="57124A18" w14:textId="77777777" w:rsidR="00FE0B0B" w:rsidRPr="00456837" w:rsidRDefault="00FE0B0B" w:rsidP="00FE0B0B">
      <w:pPr>
        <w:pStyle w:val="FootnoteText"/>
      </w:pPr>
      <w:r>
        <w:rPr>
          <w:rStyle w:val="FootnoteReference"/>
        </w:rPr>
        <w:footnoteRef/>
      </w:r>
      <w:r>
        <w:t xml:space="preserve"> The EU has ratified the convention. What does this mean  (UE a ratificat convenția. Ce înseamnă acest lucru), An-Sofie Leenknecht, Forumul European al Persoanelor cu Handicap </w:t>
      </w:r>
      <w:hyperlink r:id="rId3" w:history="1">
        <w:r>
          <w:rPr>
            <w:rStyle w:val="Hyperlink"/>
          </w:rPr>
          <w:t>http://www.edf-feph.org/eu-has-ratified-convention-what-does-mean</w:t>
        </w:r>
      </w:hyperlink>
      <w:r>
        <w:t xml:space="preserve"> </w:t>
      </w:r>
    </w:p>
  </w:footnote>
  <w:footnote w:id="3">
    <w:p w14:paraId="73B16FC1" w14:textId="77777777" w:rsidR="00FE0B0B" w:rsidRPr="00C2341A" w:rsidRDefault="00FE0B0B" w:rsidP="00FE0B0B">
      <w:pPr>
        <w:pStyle w:val="FootnoteText"/>
      </w:pPr>
      <w:r>
        <w:rPr>
          <w:rStyle w:val="FootnoteReference"/>
        </w:rPr>
        <w:footnoteRef/>
      </w:r>
      <w:r>
        <w:t xml:space="preserve"> Justiția și drepturile fundamentale, site-ul web al Comisiei Europene </w:t>
      </w:r>
      <w:hyperlink r:id="rId4" w:history="1">
        <w:r>
          <w:rPr>
            <w:rStyle w:val="Hyperlink"/>
          </w:rPr>
          <w:t>https://ec.europa.eu/info/topics/justice-and-fundamental-rights_en</w:t>
        </w:r>
      </w:hyperlink>
      <w:r>
        <w:t xml:space="preserve"> </w:t>
      </w:r>
    </w:p>
  </w:footnote>
  <w:footnote w:id="4">
    <w:p w14:paraId="791934AC" w14:textId="77777777" w:rsidR="00FE0B0B" w:rsidRPr="00FE0B0B" w:rsidRDefault="00FE0B0B" w:rsidP="00FE0B0B">
      <w:pPr>
        <w:pStyle w:val="FootnoteText"/>
      </w:pPr>
      <w:r>
        <w:rPr>
          <w:rStyle w:val="FootnoteReference"/>
        </w:rPr>
        <w:footnoteRef/>
      </w:r>
      <w:r>
        <w:t xml:space="preserve"> Carta UE, articolul 26</w:t>
      </w:r>
    </w:p>
  </w:footnote>
  <w:footnote w:id="5">
    <w:p w14:paraId="5706AA89" w14:textId="77777777" w:rsidR="00FE0B0B" w:rsidRPr="00456837" w:rsidRDefault="00FE0B0B" w:rsidP="00FE0B0B">
      <w:pPr>
        <w:pStyle w:val="FootnoteText"/>
      </w:pPr>
      <w:r>
        <w:rPr>
          <w:rStyle w:val="FootnoteReference"/>
        </w:rPr>
        <w:footnoteRef/>
      </w:r>
      <w:r>
        <w:t xml:space="preserve"> Incorporating fundamental rights into EU legislative process (Integrarea drepturilor fundamentale în procesul legislativ al UE), site-ul web al Comisiei Europene </w:t>
      </w:r>
      <w:hyperlink r:id="rId5" w:anchor="strategy" w:history="1">
        <w:r>
          <w:rPr>
            <w:rStyle w:val="Hyperlink"/>
          </w:rPr>
          <w:t>https://ec.europa.eu/info/aid-development-cooperation-fundamental-rights/your-rights-eu/eu-charter-fundamental-rights/application-charter/incorporating-fundamental-rights-eu-legislative-process_en#strategy</w:t>
        </w:r>
      </w:hyperlink>
      <w:r>
        <w:t xml:space="preserve"> </w:t>
      </w:r>
    </w:p>
  </w:footnote>
  <w:footnote w:id="6">
    <w:p w14:paraId="35C933F2" w14:textId="77777777" w:rsidR="00FE0B0B" w:rsidRPr="00FE0B0B" w:rsidRDefault="00FE0B0B" w:rsidP="00FE0B0B">
      <w:pPr>
        <w:pStyle w:val="FootnoteText"/>
      </w:pPr>
      <w:r>
        <w:rPr>
          <w:rStyle w:val="FootnoteReference"/>
        </w:rPr>
        <w:footnoteRef/>
      </w:r>
      <w:r>
        <w:t xml:space="preserve"> CNUDPH, articolul 11</w:t>
      </w:r>
    </w:p>
  </w:footnote>
  <w:footnote w:id="7">
    <w:p w14:paraId="631A7AA6" w14:textId="396D97CA" w:rsidR="00FE0B0B" w:rsidRPr="001839F8" w:rsidRDefault="00FE0B0B" w:rsidP="00FE0B0B">
      <w:pPr>
        <w:pStyle w:val="FootnoteText"/>
      </w:pPr>
      <w:r>
        <w:rPr>
          <w:rStyle w:val="FootnoteReference"/>
        </w:rPr>
        <w:footnoteRef/>
      </w:r>
      <w:r>
        <w:t xml:space="preserve"> The Plight of Europe’s disabled under coronavirus (Situația dificilă a persoanelor cu dizabilități din Europa în timpul pandemiei de coronavirus), Milan Šveřepa, EU Observer, 21 aprilie 2020 </w:t>
      </w:r>
      <w:hyperlink r:id="rId6" w:history="1">
        <w:r>
          <w:rPr>
            <w:rStyle w:val="Hyperlink"/>
          </w:rPr>
          <w:t>https://euobserver.com/opinion/148118</w:t>
        </w:r>
      </w:hyperlink>
      <w:r>
        <w:t xml:space="preserve"> </w:t>
      </w:r>
    </w:p>
  </w:footnote>
  <w:footnote w:id="8">
    <w:p w14:paraId="02DA8D28" w14:textId="77777777" w:rsidR="00FE0B0B" w:rsidRPr="001839F8" w:rsidRDefault="00FE0B0B" w:rsidP="00FE0B0B">
      <w:pPr>
        <w:pStyle w:val="FootnoteText"/>
      </w:pPr>
      <w:r>
        <w:rPr>
          <w:rStyle w:val="FootnoteReference"/>
        </w:rPr>
        <w:footnoteRef/>
      </w:r>
      <w:r>
        <w:t xml:space="preserve"> The Plight of Europe’s disabled under coronavirus (Situația dificilă a persoanelor cu dizabilități din Europa în timpul pandemiei de coronavirus), Milan Šveřepa, EU Observer, 21 aprilie 2020 </w:t>
      </w:r>
      <w:hyperlink r:id="rId7" w:history="1">
        <w:r>
          <w:rPr>
            <w:rStyle w:val="Hyperlink"/>
          </w:rPr>
          <w:t>https://euobserver.com/opinion/148118</w:t>
        </w:r>
      </w:hyperlink>
      <w:r>
        <w:t xml:space="preserve"> </w:t>
      </w:r>
    </w:p>
  </w:footnote>
  <w:footnote w:id="9">
    <w:p w14:paraId="5ACF83A5" w14:textId="77777777" w:rsidR="009A43AB" w:rsidRPr="001839F8" w:rsidRDefault="009A43AB" w:rsidP="009A43AB">
      <w:pPr>
        <w:pStyle w:val="FootnoteText"/>
      </w:pPr>
      <w:r>
        <w:rPr>
          <w:rStyle w:val="FootnoteReference"/>
        </w:rPr>
        <w:footnoteRef/>
      </w:r>
      <w:r>
        <w:t xml:space="preserve"> The Plight of Europe’s disabled under coronavirus (Situația dificilă a persoanelor cu dizabilități din Europa în timpul pandemiei de coronavirus), Milan Šveřepa, EU Observer, 21 aprilie 2020 </w:t>
      </w:r>
      <w:hyperlink r:id="rId8" w:history="1">
        <w:r>
          <w:rPr>
            <w:rStyle w:val="Hyperlink"/>
          </w:rPr>
          <w:t>https://euobserver.com/opinion/148118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9ACBD" w14:textId="77777777" w:rsidR="0045042D" w:rsidRDefault="00450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4DB5" w14:textId="77777777" w:rsidR="0045042D" w:rsidRDefault="0045042D" w:rsidP="0045042D">
    <w:pPr>
      <w:tabs>
        <w:tab w:val="left" w:pos="2977"/>
        <w:tab w:val="center" w:pos="4513"/>
        <w:tab w:val="right" w:pos="9026"/>
      </w:tabs>
      <w:ind w:left="708"/>
      <w:jc w:val="right"/>
      <w:rPr>
        <w:rFonts w:ascii="Open Sans" w:hAnsi="Open Sans" w:cstheme="minorBidi"/>
        <w:b/>
        <w:noProof/>
        <w:color w:val="ED0F69"/>
        <w:sz w:val="20"/>
        <w:lang w:val="pt-PT" w:eastAsia="pt-PT"/>
      </w:rPr>
    </w:pPr>
    <w:r w:rsidRPr="00DF505B">
      <w:rPr>
        <w:noProof/>
        <w:sz w:val="20"/>
      </w:rPr>
      <w:drawing>
        <wp:anchor distT="0" distB="0" distL="114300" distR="114300" simplePos="0" relativeHeight="251659264" behindDoc="1" locked="0" layoutInCell="1" allowOverlap="1" wp14:anchorId="4F43AD4F" wp14:editId="725C9214">
          <wp:simplePos x="0" y="0"/>
          <wp:positionH relativeFrom="margin">
            <wp:posOffset>-285257</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07DA04" w14:textId="77777777" w:rsidR="0045042D" w:rsidRPr="00862D51" w:rsidRDefault="0045042D" w:rsidP="0045042D">
    <w:pPr>
      <w:tabs>
        <w:tab w:val="left" w:pos="2977"/>
      </w:tabs>
      <w:rPr>
        <w:rFonts w:ascii="Open Sans" w:hAnsi="Open Sans" w:cstheme="minorBidi"/>
        <w:b/>
        <w:color w:val="000000" w:themeColor="text1"/>
        <w:spacing w:val="6"/>
        <w:sz w:val="18"/>
        <w:szCs w:val="18"/>
        <w:lang w:val="en-GB"/>
      </w:rPr>
    </w:pPr>
    <w:r>
      <w:rPr>
        <w:rFonts w:ascii="Open Sans" w:hAnsi="Open Sans" w:cstheme="minorBidi"/>
        <w:b/>
        <w:noProof/>
        <w:color w:val="ED0F69"/>
        <w:spacing w:val="10"/>
        <w:sz w:val="18"/>
        <w:szCs w:val="18"/>
        <w:lang w:val="pt-PT" w:eastAsia="pt-PT"/>
      </w:rPr>
      <w:tab/>
    </w:r>
    <w:r w:rsidRPr="00862D51">
      <w:rPr>
        <w:rFonts w:ascii="Open Sans" w:hAnsi="Open Sans" w:cstheme="minorBidi"/>
        <w:b/>
        <w:noProof/>
        <w:color w:val="000000" w:themeColor="text1"/>
        <w:spacing w:val="6"/>
        <w:sz w:val="18"/>
        <w:szCs w:val="18"/>
        <w:lang w:val="pt-PT" w:eastAsia="pt-PT"/>
      </w:rPr>
      <w:t>Ambitions. Rights. Belonging.</w:t>
    </w:r>
    <w:r w:rsidRPr="00862D51">
      <w:rPr>
        <w:rFonts w:ascii="Open Sans" w:hAnsi="Open Sans" w:cstheme="minorBidi"/>
        <w:b/>
        <w:color w:val="000000" w:themeColor="text1"/>
        <w:spacing w:val="6"/>
        <w:sz w:val="18"/>
        <w:szCs w:val="18"/>
        <w:lang w:val="en-GB"/>
      </w:rPr>
      <w:t xml:space="preserve"> </w:t>
    </w:r>
  </w:p>
  <w:p w14:paraId="04A8F57F" w14:textId="2A29726A" w:rsidR="0045042D" w:rsidRDefault="0045042D">
    <w:pPr>
      <w:pStyle w:val="Header"/>
    </w:pPr>
  </w:p>
  <w:p w14:paraId="1317066E" w14:textId="755E6D18" w:rsidR="0045042D" w:rsidRDefault="0045042D">
    <w:pPr>
      <w:pStyle w:val="Header"/>
    </w:pPr>
  </w:p>
  <w:p w14:paraId="428C2855" w14:textId="77777777" w:rsidR="0045042D" w:rsidRDefault="004504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15857" w14:textId="77777777" w:rsidR="0045042D" w:rsidRDefault="00450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A6111"/>
    <w:multiLevelType w:val="hybridMultilevel"/>
    <w:tmpl w:val="7E90E09C"/>
    <w:lvl w:ilvl="0" w:tplc="54EE9098">
      <w:start w:val="26"/>
      <w:numFmt w:val="bullet"/>
      <w:lvlText w:val="-"/>
      <w:lvlJc w:val="left"/>
      <w:pPr>
        <w:ind w:left="720" w:hanging="360"/>
      </w:pPr>
      <w:rPr>
        <w:rFonts w:ascii="Cambria" w:eastAsiaTheme="minorHAnsi" w:hAnsi="Cambria"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0B"/>
    <w:rsid w:val="00061312"/>
    <w:rsid w:val="00141CDD"/>
    <w:rsid w:val="003712C2"/>
    <w:rsid w:val="00393EAC"/>
    <w:rsid w:val="0045042D"/>
    <w:rsid w:val="006544E6"/>
    <w:rsid w:val="006A4A3F"/>
    <w:rsid w:val="00714865"/>
    <w:rsid w:val="008A195F"/>
    <w:rsid w:val="00945E34"/>
    <w:rsid w:val="009A43AB"/>
    <w:rsid w:val="00B651B5"/>
    <w:rsid w:val="00E55382"/>
    <w:rsid w:val="00E60F7B"/>
    <w:rsid w:val="00FE0B0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6EC8B"/>
  <w15:chartTrackingRefBased/>
  <w15:docId w15:val="{EE9EE0E4-0B6B-4C09-A80B-39C3A369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B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B0B"/>
    <w:rPr>
      <w:color w:val="0563C1"/>
      <w:u w:val="single"/>
    </w:rPr>
  </w:style>
  <w:style w:type="character" w:styleId="Strong">
    <w:name w:val="Strong"/>
    <w:basedOn w:val="DefaultParagraphFont"/>
    <w:uiPriority w:val="22"/>
    <w:qFormat/>
    <w:rsid w:val="00FE0B0B"/>
    <w:rPr>
      <w:b/>
      <w:bCs/>
    </w:rPr>
  </w:style>
  <w:style w:type="paragraph" w:styleId="FootnoteText">
    <w:name w:val="footnote text"/>
    <w:basedOn w:val="Normal"/>
    <w:link w:val="FootnoteTextChar"/>
    <w:uiPriority w:val="99"/>
    <w:semiHidden/>
    <w:unhideWhenUsed/>
    <w:rsid w:val="00FE0B0B"/>
    <w:rPr>
      <w:sz w:val="20"/>
      <w:szCs w:val="20"/>
    </w:rPr>
  </w:style>
  <w:style w:type="character" w:customStyle="1" w:styleId="FootnoteTextChar">
    <w:name w:val="Footnote Text Char"/>
    <w:basedOn w:val="DefaultParagraphFont"/>
    <w:link w:val="FootnoteText"/>
    <w:uiPriority w:val="99"/>
    <w:semiHidden/>
    <w:rsid w:val="00FE0B0B"/>
    <w:rPr>
      <w:rFonts w:ascii="Calibri" w:hAnsi="Calibri" w:cs="Calibri"/>
      <w:sz w:val="20"/>
      <w:szCs w:val="20"/>
    </w:rPr>
  </w:style>
  <w:style w:type="character" w:styleId="FootnoteReference">
    <w:name w:val="footnote reference"/>
    <w:basedOn w:val="DefaultParagraphFont"/>
    <w:uiPriority w:val="99"/>
    <w:semiHidden/>
    <w:unhideWhenUsed/>
    <w:rsid w:val="00FE0B0B"/>
    <w:rPr>
      <w:vertAlign w:val="superscript"/>
    </w:rPr>
  </w:style>
  <w:style w:type="paragraph" w:styleId="NormalWeb">
    <w:name w:val="Normal (Web)"/>
    <w:basedOn w:val="Normal"/>
    <w:uiPriority w:val="99"/>
    <w:semiHidden/>
    <w:unhideWhenUsed/>
    <w:rsid w:val="00FE0B0B"/>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E0B0B"/>
    <w:pPr>
      <w:ind w:left="720"/>
      <w:contextualSpacing/>
    </w:pPr>
  </w:style>
  <w:style w:type="table" w:styleId="TableGrid">
    <w:name w:val="Table Grid"/>
    <w:basedOn w:val="TableNormal"/>
    <w:uiPriority w:val="39"/>
    <w:rsid w:val="00FE0B0B"/>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12C2"/>
    <w:pPr>
      <w:tabs>
        <w:tab w:val="center" w:pos="4513"/>
        <w:tab w:val="right" w:pos="9026"/>
      </w:tabs>
    </w:pPr>
  </w:style>
  <w:style w:type="character" w:customStyle="1" w:styleId="HeaderChar">
    <w:name w:val="Header Char"/>
    <w:basedOn w:val="DefaultParagraphFont"/>
    <w:link w:val="Header"/>
    <w:uiPriority w:val="99"/>
    <w:rsid w:val="003712C2"/>
    <w:rPr>
      <w:rFonts w:ascii="Calibri" w:hAnsi="Calibri" w:cs="Calibri"/>
    </w:rPr>
  </w:style>
  <w:style w:type="paragraph" w:styleId="Footer">
    <w:name w:val="footer"/>
    <w:basedOn w:val="Normal"/>
    <w:link w:val="FooterChar"/>
    <w:uiPriority w:val="99"/>
    <w:unhideWhenUsed/>
    <w:rsid w:val="003712C2"/>
    <w:pPr>
      <w:tabs>
        <w:tab w:val="center" w:pos="4513"/>
        <w:tab w:val="right" w:pos="9026"/>
      </w:tabs>
    </w:pPr>
  </w:style>
  <w:style w:type="character" w:customStyle="1" w:styleId="FooterChar">
    <w:name w:val="Footer Char"/>
    <w:basedOn w:val="DefaultParagraphFont"/>
    <w:link w:val="Footer"/>
    <w:uiPriority w:val="99"/>
    <w:rsid w:val="003712C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073323">
      <w:bodyDiv w:val="1"/>
      <w:marLeft w:val="0"/>
      <w:marRight w:val="0"/>
      <w:marTop w:val="0"/>
      <w:marBottom w:val="0"/>
      <w:divBdr>
        <w:top w:val="none" w:sz="0" w:space="0" w:color="auto"/>
        <w:left w:val="none" w:sz="0" w:space="0" w:color="auto"/>
        <w:bottom w:val="none" w:sz="0" w:space="0" w:color="auto"/>
        <w:right w:val="none" w:sz="0" w:space="0" w:color="auto"/>
      </w:divBdr>
    </w:div>
    <w:div w:id="203896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nclusion-europe.eu/coronavirus-pandemic/" TargetMode="External"/><Relationship Id="rId4" Type="http://schemas.openxmlformats.org/officeDocument/2006/relationships/styles" Target="styles.xml"/><Relationship Id="rId9" Type="http://schemas.openxmlformats.org/officeDocument/2006/relationships/hyperlink" Target="https://www.inclusion-europe.eu/coronavirus-pandemi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uobserver.com/opinion/148118" TargetMode="External"/><Relationship Id="rId3" Type="http://schemas.openxmlformats.org/officeDocument/2006/relationships/hyperlink" Target="http://www.edf-feph.org/eu-has-ratified-convention-what-does-mean" TargetMode="External"/><Relationship Id="rId7" Type="http://schemas.openxmlformats.org/officeDocument/2006/relationships/hyperlink" Target="https://euobserver.com/opinion/148118" TargetMode="External"/><Relationship Id="rId2" Type="http://schemas.openxmlformats.org/officeDocument/2006/relationships/hyperlink" Target="https://eur-lex.europa.eu/LexUriServ/LexUriServ.do?uri=OJ:C:2010:340:0011:0015:EN:PDF" TargetMode="External"/><Relationship Id="rId1" Type="http://schemas.openxmlformats.org/officeDocument/2006/relationships/hyperlink" Target="https://eur-lex.europa.eu/legal-content/EN/TXT/?uri=uriserv:OJ.L_.2010.023.01.0035.01.ENG" TargetMode="External"/><Relationship Id="rId6" Type="http://schemas.openxmlformats.org/officeDocument/2006/relationships/hyperlink" Target="https://euobserver.com/opinion/148118" TargetMode="External"/><Relationship Id="rId5" Type="http://schemas.openxmlformats.org/officeDocument/2006/relationships/hyperlink" Target="https://ec.europa.eu/info/aid-development-cooperation-fundamental-rights/your-rights-eu/eu-charter-fundamental-rights/application-charter/incorporating-fundamental-rights-eu-legislative-process_en" TargetMode="External"/><Relationship Id="rId4" Type="http://schemas.openxmlformats.org/officeDocument/2006/relationships/hyperlink" Target="https://ec.europa.eu/info/topics/justice-and-fundamental-rights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0BE213-A6BF-49F0-B57A-B8FA3847E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2AE81-68FB-4864-AE7B-25F271071E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8</cp:revision>
  <dcterms:created xsi:type="dcterms:W3CDTF">2020-05-07T09:14:00Z</dcterms:created>
  <dcterms:modified xsi:type="dcterms:W3CDTF">2020-06-16T13:19:00Z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